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D182A" w14:textId="77777777" w:rsidR="0015228E" w:rsidRPr="00AD579B" w:rsidRDefault="0015228E" w:rsidP="0015228E">
      <w:pPr>
        <w:spacing w:line="240" w:lineRule="auto"/>
        <w:rPr>
          <w:b/>
          <w:bCs/>
          <w:lang w:val="it-IT" w:eastAsia="it-IT" w:bidi="ar-SA"/>
        </w:rPr>
      </w:pPr>
      <w:r w:rsidRPr="00AD579B">
        <w:rPr>
          <w:b/>
          <w:bCs/>
          <w:lang w:val="it-IT" w:eastAsia="it-IT" w:bidi="ar-SA"/>
        </w:rPr>
        <w:t xml:space="preserve">REGOLAMENTO (UE) DEL PARLAMENTO EUROPEO E DEL CONSIGLIO del 17 dicembre 2013 N. 1305 sul sostegno allo sviluppo rurale da parte del Fondo europeo agricolo per lo sviluppo rurale (FEASR) e che abroga il </w:t>
      </w:r>
      <w:hyperlink w:anchor="/ricerca/fonti_documento?idDatabank=11&amp;idDocMaster=228565&amp;idUnitaDoc=1283016&amp;nVigUnitaDoc=1&amp;docIdx=1&amp;isCorrelazioniSearch=true&amp;correlatoA=Normativa" w:history="1">
        <w:r w:rsidRPr="00AD579B">
          <w:rPr>
            <w:rStyle w:val="alink"/>
            <w:b/>
            <w:bCs/>
            <w:lang w:val="it-IT" w:eastAsia="it-IT" w:bidi="ar-SA"/>
          </w:rPr>
          <w:t>regolamento (CE) n. 1698/2005</w:t>
        </w:r>
      </w:hyperlink>
      <w:r w:rsidRPr="00AD579B">
        <w:rPr>
          <w:b/>
          <w:bCs/>
          <w:lang w:val="it-IT" w:eastAsia="it-IT" w:bidi="ar-SA"/>
        </w:rPr>
        <w:t xml:space="preserve"> del Consiglio</w:t>
      </w:r>
      <w:r w:rsidRPr="00AD579B">
        <w:rPr>
          <w:rStyle w:val="dj-grassetto"/>
          <w:b w:val="0"/>
          <w:bCs w:val="0"/>
          <w:sz w:val="30"/>
          <w:szCs w:val="30"/>
          <w:vertAlign w:val="superscript"/>
          <w:lang w:val="it-IT" w:eastAsia="it-IT" w:bidi="ar-SA"/>
        </w:rPr>
        <w:t xml:space="preserve">  </w:t>
      </w:r>
      <w:r w:rsidRPr="00AD579B">
        <w:rPr>
          <w:rStyle w:val="dj-grassetto"/>
          <w:b w:val="0"/>
          <w:bCs w:val="0"/>
          <w:lang w:val="it-IT" w:eastAsia="it-IT" w:bidi="ar-SA"/>
        </w:rPr>
        <w:t>(1)</w:t>
      </w:r>
    </w:p>
    <w:p w14:paraId="7213E486" w14:textId="0909428C" w:rsidR="00611817" w:rsidRDefault="00611817">
      <w:pPr>
        <w:rPr>
          <w:lang w:val="it-IT"/>
        </w:rPr>
      </w:pPr>
    </w:p>
    <w:p w14:paraId="434AA7A9" w14:textId="738CC849" w:rsidR="0015228E" w:rsidRDefault="00194E48">
      <w:r>
        <w:t xml:space="preserve">DISPOSIZIONI DI INTERESSE PER GLI STRUMENTI DI </w:t>
      </w:r>
      <w:r w:rsidR="0015228E">
        <w:t>GESTIONE DE</w:t>
      </w:r>
      <w:r>
        <w:t>I</w:t>
      </w:r>
      <w:r w:rsidR="0015228E">
        <w:t xml:space="preserve"> RISCHI</w:t>
      </w:r>
    </w:p>
    <w:p w14:paraId="7AEC7B0C" w14:textId="5D39762A" w:rsidR="00194E48" w:rsidRDefault="00194E48"/>
    <w:p w14:paraId="00771E60" w14:textId="77777777" w:rsidR="00194E48" w:rsidRDefault="00194E48"/>
    <w:p w14:paraId="17053BE3" w14:textId="77777777" w:rsidR="0015228E" w:rsidRDefault="0015228E" w:rsidP="0015228E">
      <w:pPr>
        <w:spacing w:line="240" w:lineRule="auto"/>
        <w:rPr>
          <w:lang w:val="it-IT" w:eastAsia="it-IT" w:bidi="ar-SA"/>
        </w:rPr>
      </w:pPr>
      <w:r>
        <w:rPr>
          <w:lang w:val="it-IT" w:eastAsia="it-IT" w:bidi="ar-SA"/>
        </w:rPr>
        <w:t xml:space="preserve">(4) Al fine di garantire lo sviluppo sostenibile delle zone rurali, è necessario concentrarsi su un numero limitato di obiettivi essenziali, concernenti il trasferimento di conoscenze e l'innovazione nel settore agricolo, forestale e nelle zone rurali, potenziare in tutte le regioni la redditività delle aziende agricole e la competitività dell'agricoltura in tutte le sue forme e promuovere tecnologie innovative per le aziende agricole e la gestione sostenibile delle foreste, l'organizzazione della filiera agroalimentare, compresa la trasformazione e la commercializzazione di prodotti agricoli, il benessere degli animali, la gestione dei rischi inerenti all'agricoltura, la salvaguardia, il ripristino e la valorizzazione degli ecosistemi connessi all'agricoltura e alle foreste, la promozione dell'uso efficiente delle risorse e il passaggio a un'economia a basse emissioni di carbonio nel settore agroalimentare e forestale, nonché l'inclusione sociale, la riduzione della povertà e lo sviluppo economico nelle zone rurali. In questo contesto </w:t>
      </w:r>
      <w:proofErr w:type="spellStart"/>
      <w:r>
        <w:rPr>
          <w:lang w:val="it-IT" w:eastAsia="it-IT" w:bidi="ar-SA"/>
        </w:rPr>
        <w:t>é</w:t>
      </w:r>
      <w:proofErr w:type="spellEnd"/>
      <w:r>
        <w:rPr>
          <w:lang w:val="it-IT" w:eastAsia="it-IT" w:bidi="ar-SA"/>
        </w:rPr>
        <w:t xml:space="preserve"> opportuno tener conto della varietà di situazioni cui sono confrontate le zone rurali con caratteristiche diverse o con differenti categorie di potenziali beneficiari, nonché di obiettivi trasversali quali l'innovazione, l'ambiente, nonché la mitigazione dei cambiamenti climatici e l'adattamento ad essi. La mitigazione dei cambiamenti climatici dovrebbe consistere sia nel limitare le emissioni di carbonio nel settore agricolo e forestale, provenienti principalmente da fonti come l'allevamento zootecnico e l'uso di fertilizzanti, sia nel salvaguardare i depositi di carbonio e potenziare il sequestro del carbonio in relazione all'uso del suolo, nel cambiamento della destinazione d'uso del suolo e nella silvicoltura. La priorità dell'Unione concernente il trasferimento di conoscenze e l'innovazione nel settore agricolo e forestale e nelle zone rurali dovrebbe applicarsi trasversalmente alle altre priorità dell'Unione in materia di sviluppo rurale.</w:t>
      </w:r>
    </w:p>
    <w:p w14:paraId="2A458965" w14:textId="77777777" w:rsidR="00B84BFA" w:rsidRDefault="00B84BFA" w:rsidP="00B84BFA">
      <w:pPr>
        <w:spacing w:line="240" w:lineRule="auto"/>
        <w:rPr>
          <w:lang w:val="it-IT" w:eastAsia="it-IT" w:bidi="ar-SA"/>
        </w:rPr>
      </w:pPr>
      <w:r>
        <w:rPr>
          <w:lang w:val="it-IT" w:eastAsia="it-IT" w:bidi="ar-SA"/>
        </w:rPr>
        <w:t xml:space="preserve">(16) Il settore agricolo subisce, più di altri settori, i danni arrecati al potenziale produttivo da calamità naturali, avversità atmosferiche ed eventi catastrofici. Per sostenere la redditività e la competitività delle aziende agricole di fronte a tali disastri o eventi, è necessario offrire agli agricoltori un sostegno per il ripristino del potenziale agricolo che è stato danneggiato. Gli Stati membri dovrebbero inoltre garantire che non si verifichi alcuna </w:t>
      </w:r>
      <w:proofErr w:type="spellStart"/>
      <w:r>
        <w:rPr>
          <w:lang w:val="it-IT" w:eastAsia="it-IT" w:bidi="ar-SA"/>
        </w:rPr>
        <w:t>sovracompensazione</w:t>
      </w:r>
      <w:proofErr w:type="spellEnd"/>
      <w:r>
        <w:rPr>
          <w:lang w:val="it-IT" w:eastAsia="it-IT" w:bidi="ar-SA"/>
        </w:rPr>
        <w:t xml:space="preserve"> dei danni per effetto di un possibile cumulo di diversi regimi di risarcimento </w:t>
      </w:r>
      <w:proofErr w:type="spellStart"/>
      <w:r>
        <w:rPr>
          <w:lang w:val="it-IT" w:eastAsia="it-IT" w:bidi="ar-SA"/>
        </w:rPr>
        <w:t>unionali</w:t>
      </w:r>
      <w:proofErr w:type="spellEnd"/>
      <w:r>
        <w:rPr>
          <w:lang w:val="it-IT" w:eastAsia="it-IT" w:bidi="ar-SA"/>
        </w:rPr>
        <w:t xml:space="preserve"> (in particolare la misura di gestione dei rischi di cui al presente regolamento), nazionali e privati.</w:t>
      </w:r>
    </w:p>
    <w:p w14:paraId="58745B75" w14:textId="77777777" w:rsidR="00B84BFA" w:rsidRDefault="00B84BFA" w:rsidP="00B84BFA">
      <w:pPr>
        <w:spacing w:line="240" w:lineRule="auto"/>
        <w:rPr>
          <w:lang w:val="it-IT" w:eastAsia="it-IT" w:bidi="ar-SA"/>
        </w:rPr>
      </w:pPr>
      <w:r>
        <w:rPr>
          <w:lang w:val="it-IT" w:eastAsia="it-IT" w:bidi="ar-SA"/>
        </w:rPr>
        <w:t xml:space="preserve">(30) Oggigiorno gli agricoltori sono esposti a rischi economici e ambientali sempre maggiori per effetto dei cambiamenti climatici e della crescente volatilità dei prezzi. In tale contesto, un'efficace gestione dei rischi riveste particolare importanza per gli agricoltori. Di conseguenza, è necessario istituire una misura per aiutare gli agricoltori ad affrontare i rischi che incontrano più sovente. Tale misura dovrebbe pertanto aiutare gli agricoltori a pagare i premi che essi versano per assicurare il raccolto, gli animali e le colture, nonché aiutare con la costituzione di fondi di mutualizzazione che risarciscono gli agricoltori delle perdite causate da avversità atmosferiche, epizoozie, avversità fitosanitarie, infestazioni parassitarie o emergenze ambientali. Tale misura dovrebbe comprendere anche uno strumento di stabilizzazione del reddito, consistente in un fondo di mutualizzazione destinato ad aiutare gli agricoltori che subiscono un drastico calo dei redditi. Al fine di garantire la parità di trattamento tra tutti gli agricoltori dell'Unione, l'assenza di effetti </w:t>
      </w:r>
      <w:r>
        <w:rPr>
          <w:lang w:val="it-IT" w:eastAsia="it-IT" w:bidi="ar-SA"/>
        </w:rPr>
        <w:lastRenderedPageBreak/>
        <w:t>distorsivi sulla concorrenza e il rispetto degli obblighi internazionali dell'Unione, la concessione di queste forme di sostegno dovrebbe essere subordinata a determinate condizioni. Per garantire l'uso efficace delle risorse del FEASR, il sostegno dovrebbe essere limitato agli agricoltori in attività ai sensi dell'articolo 9 del regolamento (UE) n. 1307/2013.</w:t>
      </w:r>
    </w:p>
    <w:p w14:paraId="158A90C4" w14:textId="77777777" w:rsidR="00791A1B" w:rsidRDefault="00791A1B" w:rsidP="00791A1B">
      <w:pPr>
        <w:spacing w:line="240" w:lineRule="auto"/>
        <w:rPr>
          <w:lang w:val="it-IT" w:eastAsia="it-IT" w:bidi="ar-SA"/>
        </w:rPr>
      </w:pPr>
      <w:r>
        <w:rPr>
          <w:lang w:val="it-IT" w:eastAsia="it-IT" w:bidi="ar-SA"/>
        </w:rPr>
        <w:t xml:space="preserve">(38) Affinché le risorse finanziarie destinate allo sviluppo rurale siano utilizzate al meglio e le misure previste nei programmi di sviluppo rurale coincidano con le priorità dell'Unione in materia di sviluppo rurale e affinché venga garantita la parità di trattamento dei richiedenti, gli Stati membri dovrebbero stabilire appositi criteri per la selezione dei progetti. Devono fare eccezione a questa regola soltanto i pagamenti nel quadro delle misure agro-climatico-ambientali e sull'agricoltura biologica, di Natura 2000 e della direttiva quadro sulle acque, nonché le misure a favore delle zone soggette a vincoli naturali o ad altri vincoli specifici, per il benessere degli animali, per i servizi </w:t>
      </w:r>
      <w:proofErr w:type="spellStart"/>
      <w:r>
        <w:rPr>
          <w:lang w:val="it-IT" w:eastAsia="it-IT" w:bidi="ar-SA"/>
        </w:rPr>
        <w:t>silvo</w:t>
      </w:r>
      <w:proofErr w:type="spellEnd"/>
      <w:r>
        <w:rPr>
          <w:lang w:val="it-IT" w:eastAsia="it-IT" w:bidi="ar-SA"/>
        </w:rPr>
        <w:t>-climatico-ambientali e le misure connesse alla gestione dei rischi. Nell'applicare i criteri di selezione si terrà conto della dimensione degli interventi, nel rispetto del principio di proporzionalità.</w:t>
      </w:r>
    </w:p>
    <w:p w14:paraId="5F759087" w14:textId="77777777" w:rsidR="00791A1B" w:rsidRDefault="00791A1B" w:rsidP="00791A1B">
      <w:pPr>
        <w:spacing w:line="240" w:lineRule="auto"/>
        <w:rPr>
          <w:lang w:val="it-IT" w:eastAsia="it-IT" w:bidi="ar-SA"/>
        </w:rPr>
      </w:pPr>
      <w:r>
        <w:rPr>
          <w:lang w:val="it-IT" w:eastAsia="it-IT" w:bidi="ar-SA"/>
        </w:rPr>
        <w:t>(63) Inoltre, la delega di potere dovrebbe riguardare: la durata minima e massima dei mutui commerciali accordati ai fondi di mutualizzazione ai sensi della misura di gestione del rischio di cui al presente regolamento; le condizioni alle quali possono essere considerate spese ammissibili per l'investimento le spese connesse ai contratti di leasing o al materiale d'occasione, nonché la definizione dei tipi di infrastrutture per le energie rinnovabili ammissibili per l'investimento; le condizioni applicabili alla conversione o all'adeguamento degli impegni nell'ambito delle misure di cui agli articoli 28, 29, 33 e 34, nonché la definizione delle altre situazioni in cui non dovrebbe essere richiesto il rimborso dell'aiuto. Esso riguarda altresì: il riesame dei massimali di cui all'allegato I, le condizioni alle quali il sostegno approvato dalla Commissione ai sensi del regolamento (CE) n. 1698/2005 può essere integrato nel sostegno previsto dal presente regolamento, tra l'altro per l'assistenza tecnica e le valutazioni ex post, al fine di favorire un'agevole transizione dal sistema previsto dal regolamento (CE) n. 1698/2005 a quello istituito dal presente regolamento. Al fine di tenere conto del trattato di adesione della Repubblica di Croazia tali atti delegati dovrebbero riguardare anche, per la Croazia, la transizione relativa al sostegno allo sviluppo rurale previsto dal regolamento (CE) n. 1085/2006 del Consiglio, ove necessario.</w:t>
      </w:r>
    </w:p>
    <w:p w14:paraId="6EBD04C7" w14:textId="77777777" w:rsidR="00FC3076" w:rsidRDefault="00FC3076" w:rsidP="00FC3076">
      <w:pPr>
        <w:spacing w:line="240" w:lineRule="auto"/>
        <w:jc w:val="center"/>
        <w:rPr>
          <w:lang w:val="it-IT" w:eastAsia="it-IT" w:bidi="ar-SA"/>
        </w:rPr>
      </w:pPr>
      <w:r>
        <w:rPr>
          <w:rStyle w:val="lbl-numero-articolo"/>
          <w:lang w:val="it-IT" w:eastAsia="it-IT" w:bidi="ar-SA"/>
        </w:rPr>
        <w:t xml:space="preserve">Articolo 5 </w:t>
      </w:r>
    </w:p>
    <w:p w14:paraId="646D302A" w14:textId="77777777" w:rsidR="00FC3076" w:rsidRDefault="00FC3076" w:rsidP="00FC3076">
      <w:pPr>
        <w:spacing w:line="240" w:lineRule="auto"/>
        <w:jc w:val="center"/>
        <w:rPr>
          <w:lang w:val="it-IT" w:eastAsia="it-IT" w:bidi="ar-SA"/>
        </w:rPr>
      </w:pPr>
      <w:r>
        <w:rPr>
          <w:b/>
          <w:bCs/>
          <w:lang w:val="it-IT" w:eastAsia="it-IT" w:bidi="ar-SA"/>
        </w:rPr>
        <w:t>Priorità dell'Unione in materia di sviluppo rurale</w:t>
      </w:r>
    </w:p>
    <w:p w14:paraId="4BDDAE6C" w14:textId="77777777" w:rsidR="00FC3076" w:rsidRDefault="00FC3076" w:rsidP="00FC3076">
      <w:pPr>
        <w:pStyle w:val="testo-leggedj-para-r1"/>
        <w:spacing w:line="240" w:lineRule="auto"/>
        <w:rPr>
          <w:lang w:val="it-IT" w:eastAsia="it-IT" w:bidi="ar-SA"/>
        </w:rPr>
      </w:pPr>
      <w:r>
        <w:rPr>
          <w:lang w:val="it-IT" w:eastAsia="it-IT" w:bidi="ar-SA"/>
        </w:rPr>
        <w:t>Gli obiettivi della politica di sviluppo rurale, che contribuiscono alla realizzazione della strategia Europa 2020 per una crescita intelligente, sostenibile e inclusiva, sono perseguiti tramite le seguenti sei priorità dell'Unione in materia di sviluppo rurale, che a loro volta esplicitano i pertinenti obiettivi tematici del QSC:</w:t>
      </w:r>
    </w:p>
    <w:p w14:paraId="1279460B" w14:textId="77777777" w:rsidR="00FC3076" w:rsidRDefault="00FC3076" w:rsidP="00FC3076">
      <w:pPr>
        <w:pStyle w:val="testo-leggedj-para-r1"/>
        <w:spacing w:line="240" w:lineRule="auto"/>
        <w:rPr>
          <w:lang w:val="it-IT" w:eastAsia="it-IT" w:bidi="ar-SA"/>
        </w:rPr>
      </w:pPr>
      <w:r>
        <w:rPr>
          <w:lang w:val="it-IT" w:eastAsia="it-IT" w:bidi="ar-SA"/>
        </w:rPr>
        <w:t>1) promuovere il trasferimento di conoscenze e l'innovazione nel settore agricolo e forestale e nelle zone rurali, con particolare riguardo ai seguenti aspetti:</w:t>
      </w:r>
    </w:p>
    <w:p w14:paraId="5180E18C" w14:textId="77777777" w:rsidR="00FC3076" w:rsidRDefault="00FC3076" w:rsidP="00FC3076">
      <w:pPr>
        <w:pStyle w:val="testo-leggedj-para-r1"/>
        <w:spacing w:line="240" w:lineRule="auto"/>
        <w:rPr>
          <w:lang w:val="it-IT" w:eastAsia="it-IT" w:bidi="ar-SA"/>
        </w:rPr>
      </w:pPr>
      <w:r>
        <w:rPr>
          <w:lang w:val="it-IT" w:eastAsia="it-IT" w:bidi="ar-SA"/>
        </w:rPr>
        <w:t>a) stimolare l'innovazione, la cooperazione e lo sviluppo della base di conoscenze nelle zone rurali;</w:t>
      </w:r>
    </w:p>
    <w:p w14:paraId="5859919F" w14:textId="77777777" w:rsidR="00FC3076" w:rsidRDefault="00FC3076" w:rsidP="00FC3076">
      <w:pPr>
        <w:pStyle w:val="testo-leggedj-para-r1"/>
        <w:spacing w:line="240" w:lineRule="auto"/>
        <w:rPr>
          <w:lang w:val="it-IT" w:eastAsia="it-IT" w:bidi="ar-SA"/>
        </w:rPr>
      </w:pPr>
      <w:r>
        <w:rPr>
          <w:lang w:val="it-IT" w:eastAsia="it-IT" w:bidi="ar-SA"/>
        </w:rPr>
        <w:t>b) rinsaldare i nessi tra agricoltura, produzione alimentare e silvicoltura, da un lato, e ricerca e innovazione, dall'altro, anche al fine di migliorare la gestione e le prestazioni ambientali;</w:t>
      </w:r>
    </w:p>
    <w:p w14:paraId="7F3471D3" w14:textId="77777777" w:rsidR="00FC3076" w:rsidRDefault="00FC3076" w:rsidP="00FC3076">
      <w:pPr>
        <w:pStyle w:val="testo-leggedj-para-r1"/>
        <w:spacing w:line="240" w:lineRule="auto"/>
        <w:rPr>
          <w:lang w:val="it-IT" w:eastAsia="it-IT" w:bidi="ar-SA"/>
        </w:rPr>
      </w:pPr>
      <w:r>
        <w:rPr>
          <w:lang w:val="it-IT" w:eastAsia="it-IT" w:bidi="ar-SA"/>
        </w:rPr>
        <w:t>c) incoraggiare l'apprendimento lungo tutto l'arco della vita e la formazione professionale nel settore agricolo e forestale;</w:t>
      </w:r>
    </w:p>
    <w:p w14:paraId="19FFAF87" w14:textId="77777777" w:rsidR="00FC3076" w:rsidRDefault="00FC3076" w:rsidP="00FC3076">
      <w:pPr>
        <w:pStyle w:val="testo-leggedj-para-r1"/>
        <w:spacing w:line="240" w:lineRule="auto"/>
        <w:rPr>
          <w:lang w:val="it-IT" w:eastAsia="it-IT" w:bidi="ar-SA"/>
        </w:rPr>
      </w:pPr>
      <w:r>
        <w:rPr>
          <w:lang w:val="it-IT" w:eastAsia="it-IT" w:bidi="ar-SA"/>
        </w:rPr>
        <w:t>2) potenziare in tutte le regioni la redditività delle aziende agricole e la competitività dell'agricoltura in tutte le sue forme e promuovere tecnologie innovative per le aziende agricole e la gestione sostenibile delle foreste, con particolare riguardo ai seguenti aspetti:</w:t>
      </w:r>
    </w:p>
    <w:p w14:paraId="00FD9BE6" w14:textId="77777777" w:rsidR="00FC3076" w:rsidRDefault="00FC3076" w:rsidP="00FC3076">
      <w:pPr>
        <w:pStyle w:val="testo-leggedj-para-r1"/>
        <w:spacing w:line="240" w:lineRule="auto"/>
        <w:rPr>
          <w:lang w:val="it-IT" w:eastAsia="it-IT" w:bidi="ar-SA"/>
        </w:rPr>
      </w:pPr>
      <w:r>
        <w:rPr>
          <w:lang w:val="it-IT" w:eastAsia="it-IT" w:bidi="ar-SA"/>
        </w:rPr>
        <w:lastRenderedPageBreak/>
        <w:t>a) migliorare le prestazioni economiche di tutte le aziende agricole e incoraggiare la ristrutturazione e l'ammodernamento delle aziende agricole, in particolare per aumentare la quota di mercato e l'orientamento al mercato nonché la diversificazione delle attività;</w:t>
      </w:r>
    </w:p>
    <w:p w14:paraId="1C526F78" w14:textId="77777777" w:rsidR="00FC3076" w:rsidRDefault="00FC3076" w:rsidP="00FC3076">
      <w:pPr>
        <w:pStyle w:val="testo-leggedj-para-r1"/>
        <w:spacing w:line="240" w:lineRule="auto"/>
        <w:rPr>
          <w:lang w:val="it-IT" w:eastAsia="it-IT" w:bidi="ar-SA"/>
        </w:rPr>
      </w:pPr>
      <w:r>
        <w:rPr>
          <w:lang w:val="it-IT" w:eastAsia="it-IT" w:bidi="ar-SA"/>
        </w:rPr>
        <w:t>b) favorire l'ingresso di agricoltori adeguatamente qualificati nel settore agricolo e, in particolare, il ricambio generazionale;</w:t>
      </w:r>
    </w:p>
    <w:p w14:paraId="218B08D1" w14:textId="77777777" w:rsidR="00FC3076" w:rsidRDefault="00FC3076" w:rsidP="00FC3076">
      <w:pPr>
        <w:pStyle w:val="testo-leggedj-para-r1"/>
        <w:spacing w:line="240" w:lineRule="auto"/>
        <w:rPr>
          <w:lang w:val="it-IT" w:eastAsia="it-IT" w:bidi="ar-SA"/>
        </w:rPr>
      </w:pPr>
      <w:r>
        <w:rPr>
          <w:lang w:val="it-IT" w:eastAsia="it-IT" w:bidi="ar-SA"/>
        </w:rPr>
        <w:t>3) promuovere l'organizzazione della filiera alimentare, comprese la trasformazione e la commercializzazione dei prodotti agricoli, il benessere degli animali e la gestione dei rischi nel settore agricolo, con particolare riguardo ai seguenti aspetti:</w:t>
      </w:r>
    </w:p>
    <w:p w14:paraId="6DDDFE12" w14:textId="77777777" w:rsidR="00FC3076" w:rsidRDefault="00FC3076" w:rsidP="00FC3076">
      <w:pPr>
        <w:pStyle w:val="testo-leggedj-para-r1"/>
        <w:spacing w:line="240" w:lineRule="auto"/>
        <w:rPr>
          <w:lang w:val="it-IT" w:eastAsia="it-IT" w:bidi="ar-SA"/>
        </w:rPr>
      </w:pPr>
      <w:r>
        <w:rPr>
          <w:lang w:val="it-IT" w:eastAsia="it-IT" w:bidi="ar-SA"/>
        </w:rPr>
        <w:t>a) migliorare la competitività dei produttori primari integrandoli meglio nella filiera agroalimentare attraverso i regimi di qualità, la creazione di un valore aggiunto per i prodotti agricoli, la promozione dei prodotti nei mercati locali, le filiere corte, le associazioni e organizzazioni di produttori e le organizzazioni interprofessionali;</w:t>
      </w:r>
    </w:p>
    <w:p w14:paraId="7868ED50" w14:textId="77777777" w:rsidR="00FC3076" w:rsidRDefault="00FC3076" w:rsidP="00FC3076">
      <w:pPr>
        <w:pStyle w:val="testo-leggedj-para-r1"/>
        <w:spacing w:line="240" w:lineRule="auto"/>
        <w:rPr>
          <w:lang w:val="it-IT" w:eastAsia="it-IT" w:bidi="ar-SA"/>
        </w:rPr>
      </w:pPr>
      <w:r>
        <w:rPr>
          <w:lang w:val="it-IT" w:eastAsia="it-IT" w:bidi="ar-SA"/>
        </w:rPr>
        <w:t>b) sostenere la prevenzione e la gestione dei rischi aziendali;</w:t>
      </w:r>
    </w:p>
    <w:p w14:paraId="6C650687" w14:textId="77777777" w:rsidR="00FC3076" w:rsidRDefault="00FC3076" w:rsidP="00FC3076">
      <w:pPr>
        <w:pStyle w:val="testo-leggedj-para-r1"/>
        <w:spacing w:line="240" w:lineRule="auto"/>
        <w:rPr>
          <w:lang w:val="it-IT" w:eastAsia="it-IT" w:bidi="ar-SA"/>
        </w:rPr>
      </w:pPr>
      <w:r>
        <w:rPr>
          <w:lang w:val="it-IT" w:eastAsia="it-IT" w:bidi="ar-SA"/>
        </w:rPr>
        <w:t>4) preservare, ripristinare e valorizzare gli ecosistemi connessi all'agricoltura e alla silvicoltura, con particolare riguardo ai seguenti aspetti:</w:t>
      </w:r>
    </w:p>
    <w:p w14:paraId="7AB85B9B" w14:textId="77777777" w:rsidR="00FC3076" w:rsidRDefault="00FC3076" w:rsidP="00FC3076">
      <w:pPr>
        <w:pStyle w:val="testo-leggedj-para-r1"/>
        <w:spacing w:line="240" w:lineRule="auto"/>
        <w:rPr>
          <w:lang w:val="it-IT" w:eastAsia="it-IT" w:bidi="ar-SA"/>
        </w:rPr>
      </w:pPr>
      <w:r>
        <w:rPr>
          <w:lang w:val="it-IT" w:eastAsia="it-IT" w:bidi="ar-SA"/>
        </w:rPr>
        <w:t>a) salvaguardia, ripristino e miglioramento della biodiversità, compreso nelle zone Natura 2000 e nelle zone soggette a vincoli naturali o ad altri vincoli specifici, nell'agricoltura ad alto valore naturalistico, nonché dell'assetto paesaggistico dell'Europa;</w:t>
      </w:r>
    </w:p>
    <w:p w14:paraId="0D9F3F2D" w14:textId="77777777" w:rsidR="00FC3076" w:rsidRDefault="00FC3076" w:rsidP="00FC3076">
      <w:pPr>
        <w:pStyle w:val="testo-leggedj-para-r1"/>
        <w:spacing w:line="240" w:lineRule="auto"/>
        <w:rPr>
          <w:lang w:val="it-IT" w:eastAsia="it-IT" w:bidi="ar-SA"/>
        </w:rPr>
      </w:pPr>
      <w:r>
        <w:rPr>
          <w:lang w:val="it-IT" w:eastAsia="it-IT" w:bidi="ar-SA"/>
        </w:rPr>
        <w:t>b) migliore gestione delle risorse idriche, compresa la gestione dei fertilizzanti e dei pesticidi;</w:t>
      </w:r>
    </w:p>
    <w:p w14:paraId="31474A2F" w14:textId="77777777" w:rsidR="00FC3076" w:rsidRDefault="00FC3076" w:rsidP="00FC3076">
      <w:pPr>
        <w:pStyle w:val="testo-leggedj-para-r1"/>
        <w:spacing w:line="240" w:lineRule="auto"/>
        <w:rPr>
          <w:lang w:val="it-IT" w:eastAsia="it-IT" w:bidi="ar-SA"/>
        </w:rPr>
      </w:pPr>
      <w:r>
        <w:rPr>
          <w:lang w:val="it-IT" w:eastAsia="it-IT" w:bidi="ar-SA"/>
        </w:rPr>
        <w:t>c) prevenzione dell'erosione dei suoli e migliore gestione degli stessi;</w:t>
      </w:r>
    </w:p>
    <w:p w14:paraId="16F5C6B1" w14:textId="77777777" w:rsidR="00FC3076" w:rsidRDefault="00FC3076" w:rsidP="00FC3076">
      <w:pPr>
        <w:pStyle w:val="testo-leggedj-para-r1"/>
        <w:spacing w:line="240" w:lineRule="auto"/>
        <w:rPr>
          <w:lang w:val="it-IT" w:eastAsia="it-IT" w:bidi="ar-SA"/>
        </w:rPr>
      </w:pPr>
      <w:r>
        <w:rPr>
          <w:lang w:val="it-IT" w:eastAsia="it-IT" w:bidi="ar-SA"/>
        </w:rPr>
        <w:t>5) incentivare l'uso efficiente delle risorse e il passaggio a un'economia a basse emissioni di carbonio e resiliente al clima nel settore agroalimentare e forestale, con particolare riguardo ai seguenti aspetti:</w:t>
      </w:r>
    </w:p>
    <w:p w14:paraId="6DD43111" w14:textId="77777777" w:rsidR="00FC3076" w:rsidRDefault="00FC3076" w:rsidP="00FC3076">
      <w:pPr>
        <w:pStyle w:val="testo-leggedj-para-r1"/>
        <w:spacing w:line="240" w:lineRule="auto"/>
        <w:rPr>
          <w:lang w:val="it-IT" w:eastAsia="it-IT" w:bidi="ar-SA"/>
        </w:rPr>
      </w:pPr>
      <w:r>
        <w:rPr>
          <w:lang w:val="it-IT" w:eastAsia="it-IT" w:bidi="ar-SA"/>
        </w:rPr>
        <w:t>a) rendere più efficiente l'uso dell'acqua nell'agricoltura;</w:t>
      </w:r>
    </w:p>
    <w:p w14:paraId="006B3EEF" w14:textId="77777777" w:rsidR="00FC3076" w:rsidRDefault="00FC3076" w:rsidP="00FC3076">
      <w:pPr>
        <w:pStyle w:val="testo-leggedj-para-r1"/>
        <w:spacing w:line="240" w:lineRule="auto"/>
        <w:rPr>
          <w:lang w:val="it-IT" w:eastAsia="it-IT" w:bidi="ar-SA"/>
        </w:rPr>
      </w:pPr>
      <w:r>
        <w:rPr>
          <w:lang w:val="it-IT" w:eastAsia="it-IT" w:bidi="ar-SA"/>
        </w:rPr>
        <w:t>b) rendere più efficiente l'uso dell'energia nell'agricoltura e nell'industria alimentare;</w:t>
      </w:r>
    </w:p>
    <w:p w14:paraId="2D59FDB7" w14:textId="77777777" w:rsidR="00FC3076" w:rsidRDefault="00FC3076" w:rsidP="00FC3076">
      <w:pPr>
        <w:pStyle w:val="testo-leggedj-para-r1"/>
        <w:spacing w:line="240" w:lineRule="auto"/>
        <w:rPr>
          <w:lang w:val="it-IT" w:eastAsia="it-IT" w:bidi="ar-SA"/>
        </w:rPr>
      </w:pPr>
      <w:r>
        <w:rPr>
          <w:lang w:val="it-IT" w:eastAsia="it-IT" w:bidi="ar-SA"/>
        </w:rPr>
        <w:t>c) favorire l'approvvigionamento e l'utilizzo di fonti di energia rinnovabili, sottoprodotti, materiali di scarto e residui e altre materie grezze non alimentari ai fini della bioeconomia;</w:t>
      </w:r>
    </w:p>
    <w:p w14:paraId="7067135F" w14:textId="77777777" w:rsidR="00FC3076" w:rsidRDefault="00FC3076" w:rsidP="00FC3076">
      <w:pPr>
        <w:pStyle w:val="testo-leggedj-para-r1"/>
        <w:spacing w:line="240" w:lineRule="auto"/>
        <w:rPr>
          <w:lang w:val="it-IT" w:eastAsia="it-IT" w:bidi="ar-SA"/>
        </w:rPr>
      </w:pPr>
      <w:r>
        <w:rPr>
          <w:lang w:val="it-IT" w:eastAsia="it-IT" w:bidi="ar-SA"/>
        </w:rPr>
        <w:t>d) ridurre le emissioni di gas a effetto serra e di ammoniaca prodotte dall'agricoltura;</w:t>
      </w:r>
    </w:p>
    <w:p w14:paraId="3D5F0A34" w14:textId="77777777" w:rsidR="00FC3076" w:rsidRDefault="00FC3076" w:rsidP="00FC3076">
      <w:pPr>
        <w:pStyle w:val="testo-leggedj-para-r1"/>
        <w:spacing w:line="240" w:lineRule="auto"/>
        <w:rPr>
          <w:lang w:val="it-IT" w:eastAsia="it-IT" w:bidi="ar-SA"/>
        </w:rPr>
      </w:pPr>
      <w:r>
        <w:rPr>
          <w:lang w:val="it-IT" w:eastAsia="it-IT" w:bidi="ar-SA"/>
        </w:rPr>
        <w:t>e) promuovere la conservazione e il sequestro del carbonio nel settore agricolo e forestale;</w:t>
      </w:r>
    </w:p>
    <w:p w14:paraId="0217314E" w14:textId="77777777" w:rsidR="00FC3076" w:rsidRDefault="00FC3076" w:rsidP="00FC3076">
      <w:pPr>
        <w:pStyle w:val="testo-leggedj-para-r1"/>
        <w:spacing w:line="240" w:lineRule="auto"/>
        <w:rPr>
          <w:lang w:val="it-IT" w:eastAsia="it-IT" w:bidi="ar-SA"/>
        </w:rPr>
      </w:pPr>
      <w:r>
        <w:rPr>
          <w:lang w:val="it-IT" w:eastAsia="it-IT" w:bidi="ar-SA"/>
        </w:rPr>
        <w:t>6) adoperarsi per l'inclusione sociale, la riduzione della povertà e lo sviluppo economico nelle zone rurali, con particolare riguardo ai seguenti aspetti:</w:t>
      </w:r>
    </w:p>
    <w:p w14:paraId="4ECB2A98" w14:textId="77777777" w:rsidR="00FC3076" w:rsidRDefault="00FC3076" w:rsidP="00FC3076">
      <w:pPr>
        <w:pStyle w:val="testo-leggedj-para-r1"/>
        <w:spacing w:line="240" w:lineRule="auto"/>
        <w:rPr>
          <w:lang w:val="it-IT" w:eastAsia="it-IT" w:bidi="ar-SA"/>
        </w:rPr>
      </w:pPr>
      <w:r>
        <w:rPr>
          <w:lang w:val="it-IT" w:eastAsia="it-IT" w:bidi="ar-SA"/>
        </w:rPr>
        <w:t>a) favorire la diversificazione, la creazione e lo sviluppo di piccole imprese nonché dell'occupazione;</w:t>
      </w:r>
    </w:p>
    <w:p w14:paraId="632DD7F8" w14:textId="77777777" w:rsidR="00FC3076" w:rsidRDefault="00FC3076" w:rsidP="00FC3076">
      <w:pPr>
        <w:pStyle w:val="testo-leggedj-para-r1"/>
        <w:spacing w:line="240" w:lineRule="auto"/>
        <w:rPr>
          <w:lang w:val="it-IT" w:eastAsia="it-IT" w:bidi="ar-SA"/>
        </w:rPr>
      </w:pPr>
      <w:r>
        <w:rPr>
          <w:lang w:val="it-IT" w:eastAsia="it-IT" w:bidi="ar-SA"/>
        </w:rPr>
        <w:t>b) stimolare lo sviluppo locale nelle zone rurali;</w:t>
      </w:r>
    </w:p>
    <w:p w14:paraId="70C33243" w14:textId="77777777" w:rsidR="00FC3076" w:rsidRDefault="00FC3076" w:rsidP="00FC3076">
      <w:pPr>
        <w:pStyle w:val="testo-leggedj-para-r1"/>
        <w:spacing w:line="240" w:lineRule="auto"/>
        <w:rPr>
          <w:lang w:val="it-IT" w:eastAsia="it-IT" w:bidi="ar-SA"/>
        </w:rPr>
      </w:pPr>
      <w:r>
        <w:rPr>
          <w:lang w:val="it-IT" w:eastAsia="it-IT" w:bidi="ar-SA"/>
        </w:rPr>
        <w:t>c) promuovere l'accessibilità, l'uso e la qualità delle tecnologie dell'informazione e della comunicazione (TIC) nelle zone rurali.</w:t>
      </w:r>
    </w:p>
    <w:p w14:paraId="0B6C2722" w14:textId="77777777" w:rsidR="00FC3076" w:rsidRDefault="00FC3076" w:rsidP="00FC3076">
      <w:pPr>
        <w:pStyle w:val="testo-leggedj-para-r1"/>
        <w:spacing w:line="240" w:lineRule="auto"/>
        <w:rPr>
          <w:lang w:val="it-IT" w:eastAsia="it-IT" w:bidi="ar-SA"/>
        </w:rPr>
      </w:pPr>
      <w:r>
        <w:rPr>
          <w:lang w:val="it-IT" w:eastAsia="it-IT" w:bidi="ar-SA"/>
        </w:rPr>
        <w:t>Tutte le priorità suelencate contribuiscono alla realizzazione di obiettivi trasversali quali l'innovazione, l'ambiente, nonché la mitigazione dei cambiamenti climatici e l'adattamento ad essi. I programmi possono riguardare meno di sei priorità se giustificato in base all'analisi della situazione in termini di punti di forza e di debolezza, opportunità e rischi ("analisi SWOT") e a una valutazione ex ante. Ciascun programma riguarderà almeno quattro priorità. Quando uno Stato membro presenta un programma nazionale e una serie di programmi regionali, quello nazionale può riguardare meno di quattro priorità.</w:t>
      </w:r>
    </w:p>
    <w:p w14:paraId="4F260151" w14:textId="77777777" w:rsidR="00FC3076" w:rsidRDefault="00FC3076" w:rsidP="00FC3076">
      <w:pPr>
        <w:pStyle w:val="testo-leggedj-para-r1"/>
        <w:spacing w:line="240" w:lineRule="auto"/>
        <w:rPr>
          <w:lang w:val="it-IT" w:eastAsia="it-IT" w:bidi="ar-SA"/>
        </w:rPr>
      </w:pPr>
      <w:r>
        <w:rPr>
          <w:lang w:val="it-IT" w:eastAsia="it-IT" w:bidi="ar-SA"/>
        </w:rPr>
        <w:t>Altri aspetti specifici possono essere inclusi nei programmi al fine di perseguire una delle priorità, se ciò è giustificato e misurabile.</w:t>
      </w:r>
    </w:p>
    <w:p w14:paraId="000D6296" w14:textId="77777777" w:rsidR="00FC3076" w:rsidRDefault="00FC3076" w:rsidP="00FC3076">
      <w:pPr>
        <w:spacing w:line="240" w:lineRule="auto"/>
        <w:rPr>
          <w:lang w:val="it-IT" w:eastAsia="it-IT" w:bidi="ar-SA"/>
        </w:rPr>
      </w:pPr>
    </w:p>
    <w:p w14:paraId="0A8E358E" w14:textId="77777777" w:rsidR="00FC3076" w:rsidRDefault="00FC3076" w:rsidP="00FC3076">
      <w:pPr>
        <w:spacing w:line="240" w:lineRule="auto"/>
        <w:jc w:val="center"/>
        <w:rPr>
          <w:lang w:val="it-IT" w:eastAsia="it-IT" w:bidi="ar-SA"/>
        </w:rPr>
      </w:pPr>
      <w:r>
        <w:rPr>
          <w:rStyle w:val="lbl-numero-articolo"/>
          <w:lang w:val="it-IT" w:eastAsia="it-IT" w:bidi="ar-SA"/>
        </w:rPr>
        <w:t xml:space="preserve">Titolo II </w:t>
      </w:r>
      <w:r>
        <w:rPr>
          <w:rStyle w:val="lbl-numero-articolo"/>
          <w:lang w:val="it-IT" w:eastAsia="it-IT" w:bidi="ar-SA"/>
        </w:rPr>
        <w:br/>
        <w:t xml:space="preserve">PROGRAMMAZIONE </w:t>
      </w:r>
      <w:r>
        <w:rPr>
          <w:rStyle w:val="lbl-numero-articolo"/>
          <w:lang w:val="it-IT" w:eastAsia="it-IT" w:bidi="ar-SA"/>
        </w:rPr>
        <w:br/>
      </w:r>
      <w:r>
        <w:rPr>
          <w:rStyle w:val="lbl-numero-articolo"/>
          <w:lang w:val="it-IT" w:eastAsia="it-IT" w:bidi="ar-SA"/>
        </w:rPr>
        <w:br/>
        <w:t xml:space="preserve">Capo I </w:t>
      </w:r>
      <w:r>
        <w:rPr>
          <w:rStyle w:val="lbl-numero-articolo"/>
          <w:lang w:val="it-IT" w:eastAsia="it-IT" w:bidi="ar-SA"/>
        </w:rPr>
        <w:br/>
        <w:t xml:space="preserve">Contenuto della programmazione </w:t>
      </w:r>
      <w:r>
        <w:rPr>
          <w:rStyle w:val="lbl-numero-articolo"/>
          <w:lang w:val="it-IT" w:eastAsia="it-IT" w:bidi="ar-SA"/>
        </w:rPr>
        <w:br/>
      </w:r>
      <w:r>
        <w:rPr>
          <w:rStyle w:val="lbl-numero-articolo"/>
          <w:lang w:val="it-IT" w:eastAsia="it-IT" w:bidi="ar-SA"/>
        </w:rPr>
        <w:lastRenderedPageBreak/>
        <w:br/>
      </w:r>
      <w:r>
        <w:rPr>
          <w:rStyle w:val="lbl-numero-articolo"/>
          <w:lang w:val="it-IT" w:eastAsia="it-IT" w:bidi="ar-SA"/>
        </w:rPr>
        <w:br/>
        <w:t xml:space="preserve">Articolo 6 </w:t>
      </w:r>
    </w:p>
    <w:p w14:paraId="0CA94282" w14:textId="77777777" w:rsidR="00FC3076" w:rsidRDefault="00FC3076" w:rsidP="00FC3076">
      <w:pPr>
        <w:spacing w:line="240" w:lineRule="auto"/>
        <w:jc w:val="center"/>
        <w:rPr>
          <w:lang w:val="it-IT" w:eastAsia="it-IT" w:bidi="ar-SA"/>
        </w:rPr>
      </w:pPr>
      <w:r>
        <w:rPr>
          <w:b/>
          <w:bCs/>
          <w:lang w:val="it-IT" w:eastAsia="it-IT" w:bidi="ar-SA"/>
        </w:rPr>
        <w:t>Programmi di sviluppo rurale</w:t>
      </w:r>
    </w:p>
    <w:p w14:paraId="5469385D" w14:textId="77777777" w:rsidR="00FC3076" w:rsidRDefault="00FC3076" w:rsidP="00FC3076">
      <w:pPr>
        <w:pStyle w:val="testo-leggedj-para-r1"/>
        <w:spacing w:line="240" w:lineRule="auto"/>
        <w:rPr>
          <w:lang w:val="it-IT" w:eastAsia="it-IT" w:bidi="ar-SA"/>
        </w:rPr>
      </w:pPr>
      <w:r>
        <w:rPr>
          <w:lang w:val="it-IT" w:eastAsia="it-IT" w:bidi="ar-SA"/>
        </w:rPr>
        <w:t>1. Il FEASR interviene negli Stati membri nel quadro di programmi di sviluppo rurale. Tali programmi attuano una strategia intesa a realizzare le priorità dell'Unione in materia di sviluppo rurale attraverso una serie di misure definite nel titolo III. Il sostegno del FEASR è volto alla realizzazione degli obiettivi dello sviluppo rurale perseguiti attraverso le priorità dell'Unione.</w:t>
      </w:r>
    </w:p>
    <w:p w14:paraId="63A41808" w14:textId="77777777" w:rsidR="00FC3076" w:rsidRDefault="00FC3076" w:rsidP="00FC3076">
      <w:pPr>
        <w:pStyle w:val="testo-leggedj-para-r1"/>
        <w:spacing w:line="240" w:lineRule="auto"/>
        <w:rPr>
          <w:lang w:val="it-IT" w:eastAsia="it-IT" w:bidi="ar-SA"/>
        </w:rPr>
      </w:pPr>
      <w:r>
        <w:rPr>
          <w:lang w:val="it-IT" w:eastAsia="it-IT" w:bidi="ar-SA"/>
        </w:rPr>
        <w:t>2. Uno Stato membro può presentare un unico programma nazionale per l'insieme del loro territorio o una serie di programmi regionali. In alternativa, esso può presentare, in casi debitamente motivati, un programma nazionale e una serie di programmi regionali. Se uno Stato membro presenta un programma nazionale e una serie di programmi regionali, le misure e/o i tipi di interventi sono programmati a livello nazionale o regionale, ed è garantita la coerenza tra le strategie dei programmi nazionali e regionali.</w:t>
      </w:r>
    </w:p>
    <w:p w14:paraId="293AD95A" w14:textId="77777777" w:rsidR="00FC3076" w:rsidRDefault="00FC3076" w:rsidP="00FC3076">
      <w:pPr>
        <w:pStyle w:val="testo-leggedj-para-r1"/>
        <w:spacing w:line="240" w:lineRule="auto"/>
        <w:rPr>
          <w:lang w:val="it-IT" w:eastAsia="it-IT" w:bidi="ar-SA"/>
        </w:rPr>
      </w:pPr>
      <w:r>
        <w:rPr>
          <w:lang w:val="it-IT" w:eastAsia="it-IT" w:bidi="ar-SA"/>
        </w:rPr>
        <w:t>3. Gli Stati membri che presentano programmi regionali possono presentare, per approvazione ai sensi dell'articolo 10, paragrafo 2, anche una disciplina nazionale contenente gli elementi comuni a tali programmi, senza stanziamento di bilancio distinto.</w:t>
      </w:r>
    </w:p>
    <w:p w14:paraId="51B1217E" w14:textId="77777777" w:rsidR="00FC3076" w:rsidRDefault="00FC3076" w:rsidP="00FC3076">
      <w:pPr>
        <w:pStyle w:val="testo-leggedj-para-r1"/>
        <w:spacing w:line="240" w:lineRule="auto"/>
        <w:rPr>
          <w:lang w:val="it-IT" w:eastAsia="it-IT" w:bidi="ar-SA"/>
        </w:rPr>
      </w:pPr>
      <w:r>
        <w:rPr>
          <w:lang w:val="it-IT" w:eastAsia="it-IT" w:bidi="ar-SA"/>
        </w:rPr>
        <w:t>Discipline nazionali di Stati membri che presentano programmi regionali possono anche contenere una tabella che riassuma, per regione e per anno, il contributo totale del FEASR allo Stato membro interessato per l'intero periodo di programmazione.</w:t>
      </w:r>
    </w:p>
    <w:p w14:paraId="135EC9C6" w14:textId="77777777" w:rsidR="00FC3076" w:rsidRDefault="00FC3076" w:rsidP="00FC3076">
      <w:pPr>
        <w:spacing w:line="240" w:lineRule="auto"/>
        <w:rPr>
          <w:lang w:val="it-IT" w:eastAsia="it-IT" w:bidi="ar-SA"/>
        </w:rPr>
      </w:pPr>
    </w:p>
    <w:p w14:paraId="614FE757" w14:textId="77777777" w:rsidR="00A233A0" w:rsidRDefault="00A233A0" w:rsidP="00A233A0">
      <w:pPr>
        <w:spacing w:line="240" w:lineRule="auto"/>
        <w:jc w:val="center"/>
        <w:rPr>
          <w:lang w:val="it-IT" w:eastAsia="it-IT" w:bidi="ar-SA"/>
        </w:rPr>
      </w:pPr>
      <w:r>
        <w:rPr>
          <w:rStyle w:val="lbl-numero-articolo"/>
          <w:lang w:val="it-IT" w:eastAsia="it-IT" w:bidi="ar-SA"/>
        </w:rPr>
        <w:t xml:space="preserve">Articolo 21 </w:t>
      </w:r>
    </w:p>
    <w:p w14:paraId="516ACDB2" w14:textId="77777777" w:rsidR="00A233A0" w:rsidRDefault="00A233A0" w:rsidP="00A233A0">
      <w:pPr>
        <w:spacing w:line="240" w:lineRule="auto"/>
        <w:jc w:val="center"/>
        <w:rPr>
          <w:lang w:val="it-IT" w:eastAsia="it-IT" w:bidi="ar-SA"/>
        </w:rPr>
      </w:pPr>
      <w:r>
        <w:rPr>
          <w:b/>
          <w:bCs/>
          <w:lang w:val="it-IT" w:eastAsia="it-IT" w:bidi="ar-SA"/>
        </w:rPr>
        <w:t>Investimenti nello sviluppo delle aree forestali e nel miglioramento della redditività delle foreste</w:t>
      </w:r>
    </w:p>
    <w:p w14:paraId="0961FE62" w14:textId="77777777" w:rsidR="00A233A0" w:rsidRDefault="00A233A0" w:rsidP="00A233A0">
      <w:pPr>
        <w:pStyle w:val="testo-leggedj-para-r1"/>
        <w:spacing w:line="240" w:lineRule="auto"/>
        <w:rPr>
          <w:lang w:val="it-IT" w:eastAsia="it-IT" w:bidi="ar-SA"/>
        </w:rPr>
      </w:pPr>
      <w:r>
        <w:rPr>
          <w:lang w:val="it-IT" w:eastAsia="it-IT" w:bidi="ar-SA"/>
        </w:rPr>
        <w:t>1. Il sostegno nell'ambito della presente misura riguarda:</w:t>
      </w:r>
    </w:p>
    <w:p w14:paraId="0F68AB7A" w14:textId="77777777" w:rsidR="00A233A0" w:rsidRDefault="00A233A0" w:rsidP="00A233A0">
      <w:pPr>
        <w:pStyle w:val="testo-leggedj-para-r1"/>
        <w:spacing w:line="240" w:lineRule="auto"/>
        <w:rPr>
          <w:lang w:val="it-IT" w:eastAsia="it-IT" w:bidi="ar-SA"/>
        </w:rPr>
      </w:pPr>
      <w:r>
        <w:rPr>
          <w:lang w:val="it-IT" w:eastAsia="it-IT" w:bidi="ar-SA"/>
        </w:rPr>
        <w:t>a) forestazione e imboschimento;</w:t>
      </w:r>
    </w:p>
    <w:p w14:paraId="3D8731CD" w14:textId="77777777" w:rsidR="00A233A0" w:rsidRDefault="00A233A0" w:rsidP="00A233A0">
      <w:pPr>
        <w:pStyle w:val="testo-leggedj-para-r1"/>
        <w:spacing w:line="240" w:lineRule="auto"/>
        <w:rPr>
          <w:lang w:val="it-IT" w:eastAsia="it-IT" w:bidi="ar-SA"/>
        </w:rPr>
      </w:pPr>
      <w:r>
        <w:rPr>
          <w:lang w:val="it-IT" w:eastAsia="it-IT" w:bidi="ar-SA"/>
        </w:rPr>
        <w:t>b) allestimento di sistemi agroforestali;</w:t>
      </w:r>
    </w:p>
    <w:p w14:paraId="068E4E15" w14:textId="77777777" w:rsidR="00A233A0" w:rsidRDefault="00A233A0" w:rsidP="00A233A0">
      <w:pPr>
        <w:pStyle w:val="testo-leggedj-para-r1"/>
        <w:spacing w:line="240" w:lineRule="auto"/>
        <w:rPr>
          <w:lang w:val="it-IT" w:eastAsia="it-IT" w:bidi="ar-SA"/>
        </w:rPr>
      </w:pPr>
      <w:r>
        <w:rPr>
          <w:lang w:val="it-IT" w:eastAsia="it-IT" w:bidi="ar-SA"/>
        </w:rPr>
        <w:t>c) prevenzione e ripristino delle foreste danneggiate da incendi, calamità naturali ed eventi catastrofici, comprese fitopatie, infestazioni parassitarie e rischi climatici;</w:t>
      </w:r>
    </w:p>
    <w:p w14:paraId="1C562F7B" w14:textId="77777777" w:rsidR="00A233A0" w:rsidRDefault="00A233A0" w:rsidP="00A233A0">
      <w:pPr>
        <w:pStyle w:val="testo-leggedj-para-r1"/>
        <w:spacing w:line="240" w:lineRule="auto"/>
        <w:rPr>
          <w:lang w:val="it-IT" w:eastAsia="it-IT" w:bidi="ar-SA"/>
        </w:rPr>
      </w:pPr>
      <w:r>
        <w:rPr>
          <w:lang w:val="it-IT" w:eastAsia="it-IT" w:bidi="ar-SA"/>
        </w:rPr>
        <w:t>d) investimenti diretti ad accrescere la resilienza, il pregio ambientale e il potenziale di mitigazione degli ecosistemi forestali;</w:t>
      </w:r>
    </w:p>
    <w:p w14:paraId="31684FD6" w14:textId="77777777" w:rsidR="00A233A0" w:rsidRDefault="00A233A0" w:rsidP="00A233A0">
      <w:pPr>
        <w:pStyle w:val="testo-leggedj-para-r1"/>
        <w:spacing w:line="240" w:lineRule="auto"/>
        <w:rPr>
          <w:lang w:val="it-IT" w:eastAsia="it-IT" w:bidi="ar-SA"/>
        </w:rPr>
      </w:pPr>
      <w:r>
        <w:rPr>
          <w:lang w:val="it-IT" w:eastAsia="it-IT" w:bidi="ar-SA"/>
        </w:rPr>
        <w:t>e) investimenti in tecnologie silvicole e nella trasformazione, mobilitazione e commercializzazione dei prodotti delle foreste.</w:t>
      </w:r>
    </w:p>
    <w:p w14:paraId="09CB8988" w14:textId="77777777" w:rsidR="00A233A0" w:rsidRDefault="00A233A0" w:rsidP="00A233A0">
      <w:pPr>
        <w:pStyle w:val="testo-leggedj-para-r1"/>
        <w:spacing w:line="240" w:lineRule="auto"/>
        <w:rPr>
          <w:lang w:val="it-IT" w:eastAsia="it-IT" w:bidi="ar-SA"/>
        </w:rPr>
      </w:pPr>
      <w:r>
        <w:rPr>
          <w:lang w:val="it-IT" w:eastAsia="it-IT" w:bidi="ar-SA"/>
        </w:rPr>
        <w:t xml:space="preserve">2. Le limitazioni alla proprietà delle foreste di cui agli articoli da 22 a 26 non si applicano alle foreste tropicali e subtropicali e alle aree boschive delle Azzorre, di Madera, delle isole Canarie, delle isole minori del Mar Egeo ai sensi del </w:t>
      </w:r>
      <w:hyperlink w:anchor="/ricerca/fonti_documento?idDatabank=11&amp;idDocMaster=212287&amp;idUnitaDoc=1184845&amp;nVigUnitaDoc=1&amp;docIdx=1&amp;isCorrelazioniSearch=true&amp;correlatoA=Normativa" w:history="1">
        <w:r>
          <w:rPr>
            <w:rStyle w:val="alink"/>
            <w:lang w:val="it-IT" w:eastAsia="it-IT" w:bidi="ar-SA"/>
          </w:rPr>
          <w:t>regolamento (CEE) n. 2019/93</w:t>
        </w:r>
      </w:hyperlink>
      <w:r>
        <w:rPr>
          <w:lang w:val="it-IT" w:eastAsia="it-IT" w:bidi="ar-SA"/>
        </w:rPr>
        <w:t xml:space="preserve"> del Consiglio e dei dipartimenti francesi d'oltremare.</w:t>
      </w:r>
    </w:p>
    <w:p w14:paraId="6067D024" w14:textId="77777777" w:rsidR="00A233A0" w:rsidRDefault="00A233A0" w:rsidP="00A233A0">
      <w:pPr>
        <w:pStyle w:val="testo-leggedj-para-r1"/>
        <w:spacing w:line="240" w:lineRule="auto"/>
        <w:rPr>
          <w:lang w:val="it-IT" w:eastAsia="it-IT" w:bidi="ar-SA"/>
        </w:rPr>
      </w:pPr>
      <w:r>
        <w:rPr>
          <w:lang w:val="it-IT" w:eastAsia="it-IT" w:bidi="ar-SA"/>
        </w:rPr>
        <w:t>Per le aziende al di sopra di una determinata dimensione, definita dagli Stati membri nei rispettivi programmi, il sostegno è subordinato alla presentazione delle informazioni pertinenti provenienti da un piano di gestione forestale o da un documento equivalente che sia conforme alla gestione sostenibile delle foreste quale definita dalla conferenza ministeriale sulla protezione delle foreste in Europa del 1993</w:t>
      </w:r>
    </w:p>
    <w:p w14:paraId="2B1C5807" w14:textId="77777777" w:rsidR="00A233A0" w:rsidRDefault="00A233A0" w:rsidP="00A233A0">
      <w:pPr>
        <w:spacing w:line="240" w:lineRule="auto"/>
        <w:jc w:val="center"/>
        <w:rPr>
          <w:lang w:val="it-IT" w:eastAsia="it-IT" w:bidi="ar-SA"/>
        </w:rPr>
      </w:pPr>
      <w:r>
        <w:rPr>
          <w:rStyle w:val="lbl-numero-articolo"/>
          <w:lang w:val="it-IT" w:eastAsia="it-IT" w:bidi="ar-SA"/>
        </w:rPr>
        <w:t xml:space="preserve">Articolo 24 </w:t>
      </w:r>
    </w:p>
    <w:p w14:paraId="7969D803" w14:textId="77777777" w:rsidR="00A233A0" w:rsidRDefault="00A233A0" w:rsidP="00A233A0">
      <w:pPr>
        <w:spacing w:line="240" w:lineRule="auto"/>
        <w:jc w:val="center"/>
        <w:rPr>
          <w:lang w:val="it-IT" w:eastAsia="it-IT" w:bidi="ar-SA"/>
        </w:rPr>
      </w:pPr>
      <w:r>
        <w:rPr>
          <w:b/>
          <w:bCs/>
          <w:lang w:val="it-IT" w:eastAsia="it-IT" w:bidi="ar-SA"/>
        </w:rPr>
        <w:t>Prevenzione e ripristino delle foreste danneggiate da incendi, calamità naturali ed eventi catastrofici</w:t>
      </w:r>
    </w:p>
    <w:p w14:paraId="6C90E944" w14:textId="77777777" w:rsidR="00A233A0" w:rsidRDefault="00A233A0" w:rsidP="00A233A0">
      <w:pPr>
        <w:pStyle w:val="testo-leggedj-para-r1"/>
        <w:spacing w:line="240" w:lineRule="auto"/>
        <w:rPr>
          <w:lang w:val="it-IT" w:eastAsia="it-IT" w:bidi="ar-SA"/>
        </w:rPr>
      </w:pPr>
      <w:r>
        <w:rPr>
          <w:lang w:val="it-IT" w:eastAsia="it-IT" w:bidi="ar-SA"/>
        </w:rPr>
        <w:t>1. Il sostegno di cui all'articolo 21, paragrafo 1, lettera c), è concesso a silvicoltori privati e pubblici e ad altri enti di diritto privato e pubblici e loro consorzi a copertura dei costi per i seguenti interventi:</w:t>
      </w:r>
    </w:p>
    <w:p w14:paraId="0E51D16A" w14:textId="77777777" w:rsidR="00A233A0" w:rsidRDefault="00A233A0" w:rsidP="00A233A0">
      <w:pPr>
        <w:pStyle w:val="testo-leggedj-para-r1"/>
        <w:spacing w:line="240" w:lineRule="auto"/>
        <w:rPr>
          <w:lang w:val="it-IT" w:eastAsia="it-IT" w:bidi="ar-SA"/>
        </w:rPr>
      </w:pPr>
      <w:r>
        <w:rPr>
          <w:lang w:val="it-IT" w:eastAsia="it-IT" w:bidi="ar-SA"/>
        </w:rPr>
        <w:lastRenderedPageBreak/>
        <w:t>a) creazione di infrastrutture di protezione. Nel caso di fasce parafuoco, il sostegno può coprire anche le spese di manutenzione. Non è concesso alcun sostegno per attività agricole in zone interessate da impegni agroambientali;</w:t>
      </w:r>
    </w:p>
    <w:p w14:paraId="73DB7EC9" w14:textId="77777777" w:rsidR="00A233A0" w:rsidRDefault="00A233A0" w:rsidP="00A233A0">
      <w:pPr>
        <w:pStyle w:val="testo-leggedj-para-r1"/>
        <w:spacing w:line="240" w:lineRule="auto"/>
        <w:rPr>
          <w:lang w:val="it-IT" w:eastAsia="it-IT" w:bidi="ar-SA"/>
        </w:rPr>
      </w:pPr>
      <w:r>
        <w:rPr>
          <w:lang w:val="it-IT" w:eastAsia="it-IT" w:bidi="ar-SA"/>
        </w:rPr>
        <w:t>b) interventi di prevenzione degli incendi o di altre calamità naturali su scala locale, compreso l'uso di animali al pascolo;</w:t>
      </w:r>
    </w:p>
    <w:p w14:paraId="469BD676" w14:textId="77777777" w:rsidR="00A233A0" w:rsidRDefault="00A233A0" w:rsidP="00A233A0">
      <w:pPr>
        <w:pStyle w:val="testo-leggedj-para-r1"/>
        <w:spacing w:line="240" w:lineRule="auto"/>
        <w:rPr>
          <w:lang w:val="it-IT" w:eastAsia="it-IT" w:bidi="ar-SA"/>
        </w:rPr>
      </w:pPr>
      <w:r>
        <w:rPr>
          <w:lang w:val="it-IT" w:eastAsia="it-IT" w:bidi="ar-SA"/>
        </w:rPr>
        <w:t>c) installazione e miglioramento di attrezzature di monitoraggio degli incendi boschivi, delle fitopatie e delle infestazioni parassitarie e di apparecchiature di comunicazione; nonché</w:t>
      </w:r>
    </w:p>
    <w:p w14:paraId="637F4701" w14:textId="77777777" w:rsidR="00A233A0" w:rsidRDefault="00A233A0" w:rsidP="00A233A0">
      <w:pPr>
        <w:pStyle w:val="testo-leggedj-para-r1"/>
        <w:spacing w:line="240" w:lineRule="auto"/>
        <w:rPr>
          <w:lang w:val="it-IT" w:eastAsia="it-IT" w:bidi="ar-SA"/>
        </w:rPr>
      </w:pPr>
      <w:r>
        <w:rPr>
          <w:lang w:val="it-IT" w:eastAsia="it-IT" w:bidi="ar-SA"/>
        </w:rPr>
        <w:t>d) ricostituzione del potenziale forestale danneggiato dagli incendi o da altre calamità naturali, comprese fitopatie, infestazioni parassitarie, eventi catastrofici ed eventi climatici.</w:t>
      </w:r>
    </w:p>
    <w:p w14:paraId="24D3DEE9" w14:textId="77777777" w:rsidR="00A233A0" w:rsidRDefault="00A233A0" w:rsidP="00A233A0">
      <w:pPr>
        <w:pStyle w:val="testo-leggedj-para-r1"/>
        <w:spacing w:line="240" w:lineRule="auto"/>
        <w:rPr>
          <w:lang w:val="it-IT" w:eastAsia="it-IT" w:bidi="ar-SA"/>
        </w:rPr>
      </w:pPr>
      <w:r>
        <w:rPr>
          <w:lang w:val="it-IT" w:eastAsia="it-IT" w:bidi="ar-SA"/>
        </w:rPr>
        <w:t>2. Nel caso di interventi di prevenzione delle fitopatie e delle infestazioni parassitarie, il rischio di calamità deve essere giustificato da fondate prove scientifiche e riconosciuto da organismi scientifici pubblici. Se del caso, il programma recherà l'elenco delle specie di organismi nocivi alle piante che possono provocare una calamità.</w:t>
      </w:r>
    </w:p>
    <w:p w14:paraId="6F1B598C" w14:textId="77777777" w:rsidR="00A233A0" w:rsidRDefault="00A233A0" w:rsidP="00A233A0">
      <w:pPr>
        <w:pStyle w:val="testo-leggedj-para-r1"/>
        <w:spacing w:line="240" w:lineRule="auto"/>
        <w:rPr>
          <w:lang w:val="it-IT" w:eastAsia="it-IT" w:bidi="ar-SA"/>
        </w:rPr>
      </w:pPr>
      <w:r>
        <w:rPr>
          <w:lang w:val="it-IT" w:eastAsia="it-IT" w:bidi="ar-SA"/>
        </w:rPr>
        <w:t>Gli interventi ammissibili sono coerenti con il piano di protezione delle foreste elaborato dallo Stato membro. Per le aziende al di sopra di una determinata dimensione, definita dagli Stati membri nei rispettivi programmi, il sostegno è subordinato alla presentazione delle informazioni pertinenti provenienti da un piano di gestione forestale o da uno strumento equivalente che sia conforme alla gestione sostenibile delle foreste quale definita dalla conferenza ministeriale sulla protezione delle foreste in Europa del 1993 indicante gli obiettivi di prevenzione.</w:t>
      </w:r>
    </w:p>
    <w:p w14:paraId="074745F3" w14:textId="77777777" w:rsidR="00A233A0" w:rsidRDefault="00A233A0" w:rsidP="00A233A0">
      <w:pPr>
        <w:pStyle w:val="testo-leggedj-para-r1"/>
        <w:spacing w:line="240" w:lineRule="auto"/>
        <w:rPr>
          <w:lang w:val="it-IT" w:eastAsia="it-IT" w:bidi="ar-SA"/>
        </w:rPr>
      </w:pPr>
      <w:r>
        <w:rPr>
          <w:lang w:val="it-IT" w:eastAsia="it-IT" w:bidi="ar-SA"/>
        </w:rPr>
        <w:t>Le aree forestali classificate ad alto o medio rischio d'incendio nel piano di protezione delle foreste elaborato dallo Stato membro possono beneficiare di un sostegno per la prevenzione degli incendi boschivi.</w:t>
      </w:r>
    </w:p>
    <w:p w14:paraId="545338F1" w14:textId="77777777" w:rsidR="00A233A0" w:rsidRDefault="00A233A0" w:rsidP="00A233A0">
      <w:pPr>
        <w:pStyle w:val="testo-leggedj-para-r1"/>
        <w:spacing w:line="240" w:lineRule="auto"/>
        <w:rPr>
          <w:lang w:val="it-IT" w:eastAsia="it-IT" w:bidi="ar-SA"/>
        </w:rPr>
      </w:pPr>
      <w:r>
        <w:rPr>
          <w:lang w:val="it-IT" w:eastAsia="it-IT" w:bidi="ar-SA"/>
        </w:rPr>
        <w:t xml:space="preserve">3. Il sostegno di cui al paragrafo 1, lettera d) è subordinato al riconoscimento formale, da parte della pubblica autorità competente dello Stato membro, del fatto che si è verificata una calamità naturale e che questa o le misure adottate conformemente alla </w:t>
      </w:r>
      <w:hyperlink w:anchor="/ricerca/fonti_documento?idDatabank=11&amp;idDocMaster=199156&amp;idUnitaDoc=1107443&amp;nVigUnitaDoc=1&amp;docIdx=1&amp;isCorrelazioniSearch=true&amp;correlatoA=Normativa" w:history="1">
        <w:r>
          <w:rPr>
            <w:rStyle w:val="alink"/>
            <w:lang w:val="it-IT" w:eastAsia="it-IT" w:bidi="ar-SA"/>
          </w:rPr>
          <w:t>direttiva 2000/29/CE</w:t>
        </w:r>
      </w:hyperlink>
      <w:r>
        <w:rPr>
          <w:lang w:val="it-IT" w:eastAsia="it-IT" w:bidi="ar-SA"/>
        </w:rPr>
        <w:t xml:space="preserve"> per eradicare o circoscrivere una fitopatia o un'infestazione parassitaria hanno causato la distruzione di non meno del 20 % del potenziale forestale interessato.</w:t>
      </w:r>
    </w:p>
    <w:p w14:paraId="17BC6233" w14:textId="77777777" w:rsidR="00A233A0" w:rsidRDefault="00A233A0" w:rsidP="00A233A0">
      <w:pPr>
        <w:pStyle w:val="testo-leggedj-para-r1"/>
        <w:spacing w:line="240" w:lineRule="auto"/>
        <w:rPr>
          <w:lang w:val="it-IT" w:eastAsia="it-IT" w:bidi="ar-SA"/>
        </w:rPr>
      </w:pPr>
      <w:r>
        <w:rPr>
          <w:lang w:val="it-IT" w:eastAsia="it-IT" w:bidi="ar-SA"/>
        </w:rPr>
        <w:t>4. Nell'ambito della presente misura non è concesso alcun sostegno per il mancato guadagno conseguente alla calamità naturale.</w:t>
      </w:r>
    </w:p>
    <w:p w14:paraId="3110008A" w14:textId="77777777" w:rsidR="00A233A0" w:rsidRDefault="00A233A0" w:rsidP="00A233A0">
      <w:pPr>
        <w:pStyle w:val="testo-leggedj-para-r1"/>
        <w:spacing w:line="240" w:lineRule="auto"/>
        <w:rPr>
          <w:lang w:val="it-IT" w:eastAsia="it-IT" w:bidi="ar-SA"/>
        </w:rPr>
      </w:pPr>
      <w:r>
        <w:rPr>
          <w:lang w:val="it-IT" w:eastAsia="it-IT" w:bidi="ar-SA"/>
        </w:rPr>
        <w:t xml:space="preserve">Gli Stati membri provvedono a evitare ogni </w:t>
      </w:r>
      <w:proofErr w:type="spellStart"/>
      <w:r>
        <w:rPr>
          <w:lang w:val="it-IT" w:eastAsia="it-IT" w:bidi="ar-SA"/>
        </w:rPr>
        <w:t>sovracompensazione</w:t>
      </w:r>
      <w:proofErr w:type="spellEnd"/>
      <w:r>
        <w:rPr>
          <w:lang w:val="it-IT" w:eastAsia="it-IT" w:bidi="ar-SA"/>
        </w:rPr>
        <w:t xml:space="preserve"> per effetto di un possibile cumulo della presente misura con altri strumenti di sostegno nazionali o </w:t>
      </w:r>
      <w:proofErr w:type="spellStart"/>
      <w:r>
        <w:rPr>
          <w:lang w:val="it-IT" w:eastAsia="it-IT" w:bidi="ar-SA"/>
        </w:rPr>
        <w:t>unionali</w:t>
      </w:r>
      <w:proofErr w:type="spellEnd"/>
      <w:r>
        <w:rPr>
          <w:lang w:val="it-IT" w:eastAsia="it-IT" w:bidi="ar-SA"/>
        </w:rPr>
        <w:t xml:space="preserve"> o con regimi assicurativi privati.</w:t>
      </w:r>
    </w:p>
    <w:p w14:paraId="6EC1D19F"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36 </w:t>
      </w:r>
    </w:p>
    <w:p w14:paraId="1C93BD12" w14:textId="77777777" w:rsidR="00924FEE" w:rsidRDefault="00924FEE" w:rsidP="00924FEE">
      <w:pPr>
        <w:spacing w:line="240" w:lineRule="auto"/>
        <w:jc w:val="center"/>
        <w:rPr>
          <w:lang w:val="it-IT" w:eastAsia="it-IT" w:bidi="ar-SA"/>
        </w:rPr>
      </w:pPr>
      <w:r>
        <w:rPr>
          <w:b/>
          <w:bCs/>
          <w:lang w:val="it-IT" w:eastAsia="it-IT" w:bidi="ar-SA"/>
        </w:rPr>
        <w:t>Gestione del rischio</w:t>
      </w:r>
    </w:p>
    <w:p w14:paraId="6AC91C33" w14:textId="77777777" w:rsidR="00924FEE" w:rsidRDefault="00924FEE" w:rsidP="00924FEE">
      <w:pPr>
        <w:pStyle w:val="testo-leggedj-para-r1"/>
        <w:spacing w:line="240" w:lineRule="auto"/>
        <w:rPr>
          <w:lang w:val="it-IT" w:eastAsia="it-IT" w:bidi="ar-SA"/>
        </w:rPr>
      </w:pPr>
      <w:r>
        <w:rPr>
          <w:lang w:val="it-IT" w:eastAsia="it-IT" w:bidi="ar-SA"/>
        </w:rPr>
        <w:t>1. Il sostegno nell'ambito della presente misura copre:</w:t>
      </w:r>
    </w:p>
    <w:p w14:paraId="404BC75D" w14:textId="77777777" w:rsidR="00924FEE" w:rsidRDefault="00924FEE" w:rsidP="00924FEE">
      <w:pPr>
        <w:pStyle w:val="testo-leggedj-para-r1"/>
        <w:spacing w:line="240" w:lineRule="auto"/>
        <w:rPr>
          <w:lang w:val="it-IT" w:eastAsia="it-IT" w:bidi="ar-SA"/>
        </w:rPr>
      </w:pPr>
      <w:r>
        <w:rPr>
          <w:lang w:val="it-IT" w:eastAsia="it-IT" w:bidi="ar-SA"/>
        </w:rPr>
        <w:t>a) i contributi finanziari per il pagamento dei premi di assicurazione del raccolto, degli animali e delle piante a fronte del rischio di perdite economiche per gli agricoltori causate da avversità atmosferiche, da epizoozie o fitopatie, da infestazioni parassitarie o dal verificarsi di un'emergenza ambientale;</w:t>
      </w:r>
    </w:p>
    <w:p w14:paraId="362C17EC" w14:textId="77777777" w:rsidR="00924FEE" w:rsidRDefault="00924FEE" w:rsidP="00924FEE">
      <w:pPr>
        <w:pStyle w:val="testo-leggedj-para-r1"/>
        <w:spacing w:line="240" w:lineRule="auto"/>
        <w:rPr>
          <w:lang w:val="it-IT" w:eastAsia="it-IT" w:bidi="ar-SA"/>
        </w:rPr>
      </w:pPr>
      <w:r>
        <w:rPr>
          <w:lang w:val="it-IT" w:eastAsia="it-IT" w:bidi="ar-SA"/>
        </w:rPr>
        <w:t>b) i contributi finanziari versati ai fondi di mutualizzazione per il pagamento di compensazioni finanziarie agli agricoltori in caso di perdite economiche causate da avversità atmosferiche o dall'insorgenza di focolai di epizoozie o fitopatie o da infestazioni parassitarie o dal verificarsi di un'emergenza ambientale;</w:t>
      </w:r>
    </w:p>
    <w:p w14:paraId="549E8A1B" w14:textId="77777777" w:rsidR="00924FEE" w:rsidRDefault="00924FEE" w:rsidP="00924FEE">
      <w:pPr>
        <w:pStyle w:val="testo-leggedj-para-r1"/>
        <w:spacing w:line="240" w:lineRule="auto"/>
        <w:rPr>
          <w:lang w:val="it-IT" w:eastAsia="it-IT" w:bidi="ar-SA"/>
        </w:rPr>
      </w:pPr>
      <w:r>
        <w:rPr>
          <w:lang w:val="it-IT" w:eastAsia="it-IT" w:bidi="ar-SA"/>
        </w:rPr>
        <w:t>c) uno strumento di stabilizzazione del reddito, consistente nel versamento di contributi finanziari ai fondi di mutualizzazione per il pagamento di compensazioni finanziarie agli agricoltori di tutti i settori a seguito di un drastico calo di reddito(1);</w:t>
      </w:r>
    </w:p>
    <w:p w14:paraId="612511B0" w14:textId="77777777" w:rsidR="00924FEE" w:rsidRDefault="00924FEE" w:rsidP="00924FEE">
      <w:pPr>
        <w:pStyle w:val="testo-leggedj-para-r1"/>
        <w:spacing w:line="240" w:lineRule="auto"/>
        <w:rPr>
          <w:lang w:val="it-IT" w:eastAsia="it-IT" w:bidi="ar-SA"/>
        </w:rPr>
      </w:pPr>
      <w:r>
        <w:rPr>
          <w:lang w:val="it-IT" w:eastAsia="it-IT" w:bidi="ar-SA"/>
        </w:rPr>
        <w:t>d) uno strumento di stabilizzazione del reddito specifico per settore, consistente nel versamento di contributi finanziari ai fondi di mutualizzazione per il pagamento di compensazioni finanziarie agli agricoltori di un settore specifico a seguito di un drastico calo di reddito(2).</w:t>
      </w:r>
    </w:p>
    <w:p w14:paraId="66246BA5" w14:textId="77777777" w:rsidR="00924FEE" w:rsidRDefault="00924FEE" w:rsidP="00924FEE">
      <w:pPr>
        <w:pStyle w:val="testo-leggedj-para-r1"/>
        <w:spacing w:line="240" w:lineRule="auto"/>
        <w:rPr>
          <w:lang w:val="it-IT" w:eastAsia="it-IT" w:bidi="ar-SA"/>
        </w:rPr>
      </w:pPr>
      <w:r>
        <w:rPr>
          <w:lang w:val="it-IT" w:eastAsia="it-IT" w:bidi="ar-SA"/>
        </w:rPr>
        <w:lastRenderedPageBreak/>
        <w:t>2. Ai fini del presente articolo, per “agricoltore” si intende un agricoltore in attività ai sensi dell'</w:t>
      </w:r>
      <w:hyperlink w:anchor="/ricerca/fonti_documento?idDatabank=11&amp;idDocMaster=4042079&amp;idUnitaDoc=21885637&amp;nVigUnitaDoc=1&amp;docIdx=1&amp;isCorrelazioniSearch=true&amp;correlatoA=Normativa" w:history="1">
        <w:r>
          <w:rPr>
            <w:rStyle w:val="alink"/>
            <w:lang w:val="it-IT" w:eastAsia="it-IT" w:bidi="ar-SA"/>
          </w:rPr>
          <w:t>articolo 9 del regolamento (UE) n. 1307/2013</w:t>
        </w:r>
      </w:hyperlink>
      <w:r>
        <w:rPr>
          <w:lang w:val="it-IT" w:eastAsia="it-IT" w:bidi="ar-SA"/>
        </w:rPr>
        <w:t>, quale applicabile nello Stato membro in questione(3).</w:t>
      </w:r>
    </w:p>
    <w:p w14:paraId="1E428990" w14:textId="77777777" w:rsidR="00924FEE" w:rsidRDefault="00924FEE" w:rsidP="00924FEE">
      <w:pPr>
        <w:pStyle w:val="testo-leggedj-para-r1"/>
        <w:spacing w:line="240" w:lineRule="auto"/>
        <w:rPr>
          <w:lang w:val="it-IT" w:eastAsia="it-IT" w:bidi="ar-SA"/>
        </w:rPr>
      </w:pPr>
      <w:r>
        <w:rPr>
          <w:lang w:val="it-IT" w:eastAsia="it-IT" w:bidi="ar-SA"/>
        </w:rPr>
        <w:t>3. Ai fini del paragrafo 1, lettere b), c) e d), per “fondo di mutualizzazione” si intende un regime riconosciuto dallo Stato membro conformemente al proprio ordinamento nazionale, che permette agli agricoltori affiliati di assicurarsi e di beneficiare di pagamenti compensativi in caso di perdite economiche causate da avversità atmosferiche o dall'insorgenza di focolai di epizoozie o fitopatie o da infestazioni parassitarie o dal verificarsi di un'emergenza ambientale o a seguito di un drastico calo di reddito(4).</w:t>
      </w:r>
    </w:p>
    <w:p w14:paraId="79A40D03" w14:textId="77777777" w:rsidR="00924FEE" w:rsidRDefault="00924FEE" w:rsidP="00924FEE">
      <w:pPr>
        <w:pStyle w:val="testo-leggedj-para-r1"/>
        <w:spacing w:line="240" w:lineRule="auto"/>
        <w:rPr>
          <w:lang w:val="it-IT" w:eastAsia="it-IT" w:bidi="ar-SA"/>
        </w:rPr>
      </w:pPr>
      <w:r>
        <w:rPr>
          <w:lang w:val="it-IT" w:eastAsia="it-IT" w:bidi="ar-SA"/>
        </w:rPr>
        <w:t xml:space="preserve">4. Gli Stati membri provvedono a evitare ogni </w:t>
      </w:r>
      <w:proofErr w:type="spellStart"/>
      <w:r>
        <w:rPr>
          <w:lang w:val="it-IT" w:eastAsia="it-IT" w:bidi="ar-SA"/>
        </w:rPr>
        <w:t>sovracompensazione</w:t>
      </w:r>
      <w:proofErr w:type="spellEnd"/>
      <w:r>
        <w:rPr>
          <w:lang w:val="it-IT" w:eastAsia="it-IT" w:bidi="ar-SA"/>
        </w:rPr>
        <w:t xml:space="preserve"> per effetto di un possibile cumulo della presente misura con altri strumenti di sostegno nazionali o </w:t>
      </w:r>
      <w:proofErr w:type="spellStart"/>
      <w:r>
        <w:rPr>
          <w:lang w:val="it-IT" w:eastAsia="it-IT" w:bidi="ar-SA"/>
        </w:rPr>
        <w:t>unionali</w:t>
      </w:r>
      <w:proofErr w:type="spellEnd"/>
      <w:r>
        <w:rPr>
          <w:lang w:val="it-IT" w:eastAsia="it-IT" w:bidi="ar-SA"/>
        </w:rPr>
        <w:t xml:space="preserve"> o con regimi assicurativi privati.</w:t>
      </w:r>
    </w:p>
    <w:p w14:paraId="259412AB" w14:textId="77777777" w:rsidR="00924FEE" w:rsidRDefault="00924FEE" w:rsidP="00924FEE">
      <w:pPr>
        <w:pStyle w:val="testo-leggedj-para-r1"/>
        <w:spacing w:line="240" w:lineRule="auto"/>
        <w:rPr>
          <w:lang w:val="it-IT" w:eastAsia="it-IT" w:bidi="ar-SA"/>
        </w:rPr>
      </w:pPr>
      <w:r>
        <w:rPr>
          <w:lang w:val="it-IT" w:eastAsia="it-IT" w:bidi="ar-SA"/>
        </w:rPr>
        <w:t>5. Al fine di garantire un uso efficiente delle risorse del FEASR, alla Commissione è conferito il potere di adottare atti delegati conformemente all'articolo 83 riguardo alla durata minima e massima dei mutui commerciali accordati ai fondi di mutualizzazione di cui all'articolo 38, paragrafo 3, lettera b), e all'articolo 39, paragrafo 4.</w:t>
      </w:r>
    </w:p>
    <w:p w14:paraId="3C9CF739" w14:textId="77777777" w:rsidR="00924FEE" w:rsidRDefault="00924FEE" w:rsidP="00924FEE">
      <w:pPr>
        <w:pStyle w:val="testo-leggedj-para-r1"/>
        <w:spacing w:line="240" w:lineRule="auto"/>
        <w:rPr>
          <w:lang w:val="it-IT" w:eastAsia="it-IT" w:bidi="ar-SA"/>
        </w:rPr>
      </w:pPr>
      <w:r>
        <w:rPr>
          <w:lang w:val="it-IT" w:eastAsia="it-IT" w:bidi="ar-SA"/>
        </w:rPr>
        <w:t>[La Commissione presenta entro il 31 dicembre 2018 al Parlamento europeo e al Consiglio una relazione sull'applicazione del presente articolo.](5)</w:t>
      </w:r>
    </w:p>
    <w:p w14:paraId="6CC51C06" w14:textId="77777777" w:rsidR="00924FEE" w:rsidRDefault="00924FEE" w:rsidP="00924FEE">
      <w:pPr>
        <w:spacing w:line="240" w:lineRule="auto"/>
        <w:rPr>
          <w:sz w:val="18"/>
          <w:szCs w:val="18"/>
          <w:lang w:val="it-IT" w:eastAsia="it-IT" w:bidi="ar-SA"/>
        </w:rPr>
      </w:pPr>
      <w:r>
        <w:rPr>
          <w:sz w:val="18"/>
          <w:szCs w:val="18"/>
          <w:lang w:val="it-IT" w:eastAsia="it-IT" w:bidi="ar-SA"/>
        </w:rPr>
        <w:t>[1] Lettera sostituita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60D0F59C" w14:textId="77777777" w:rsidR="00924FEE" w:rsidRDefault="00924FEE" w:rsidP="00924FEE">
      <w:pPr>
        <w:spacing w:line="240" w:lineRule="auto"/>
        <w:rPr>
          <w:sz w:val="18"/>
          <w:szCs w:val="18"/>
          <w:lang w:val="it-IT" w:eastAsia="it-IT" w:bidi="ar-SA"/>
        </w:rPr>
      </w:pPr>
      <w:r>
        <w:rPr>
          <w:sz w:val="18"/>
          <w:szCs w:val="18"/>
          <w:lang w:val="it-IT" w:eastAsia="it-IT" w:bidi="ar-SA"/>
        </w:rPr>
        <w:t>[2] Lettera inserita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4B6B3D02" w14:textId="77777777" w:rsidR="00924FEE" w:rsidRDefault="00924FEE" w:rsidP="00924FEE">
      <w:pPr>
        <w:spacing w:line="240" w:lineRule="auto"/>
        <w:rPr>
          <w:sz w:val="18"/>
          <w:szCs w:val="18"/>
          <w:lang w:val="it-IT" w:eastAsia="it-IT" w:bidi="ar-SA"/>
        </w:rPr>
      </w:pPr>
      <w:r>
        <w:rPr>
          <w:sz w:val="18"/>
          <w:szCs w:val="18"/>
          <w:lang w:val="it-IT" w:eastAsia="it-IT" w:bidi="ar-SA"/>
        </w:rPr>
        <w:t>[3]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6C105FAC" w14:textId="77777777" w:rsidR="00924FEE" w:rsidRDefault="00924FEE" w:rsidP="00924FEE">
      <w:pPr>
        <w:spacing w:line="240" w:lineRule="auto"/>
        <w:rPr>
          <w:sz w:val="18"/>
          <w:szCs w:val="18"/>
          <w:lang w:val="it-IT" w:eastAsia="it-IT" w:bidi="ar-SA"/>
        </w:rPr>
      </w:pPr>
      <w:r>
        <w:rPr>
          <w:sz w:val="18"/>
          <w:szCs w:val="18"/>
          <w:lang w:val="it-IT" w:eastAsia="it-IT" w:bidi="ar-SA"/>
        </w:rPr>
        <w:t>[4]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4B33438B" w14:textId="77777777" w:rsidR="00924FEE" w:rsidRDefault="00924FEE" w:rsidP="00924FEE">
      <w:pPr>
        <w:spacing w:line="240" w:lineRule="auto"/>
        <w:rPr>
          <w:sz w:val="18"/>
          <w:szCs w:val="18"/>
          <w:lang w:val="it-IT" w:eastAsia="it-IT" w:bidi="ar-SA"/>
        </w:rPr>
      </w:pPr>
      <w:r>
        <w:rPr>
          <w:sz w:val="18"/>
          <w:szCs w:val="18"/>
          <w:lang w:val="it-IT" w:eastAsia="it-IT" w:bidi="ar-SA"/>
        </w:rPr>
        <w:t>[5] Comma soppresso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08B3014B" w14:textId="77777777" w:rsidR="00924FEE" w:rsidRDefault="00924FEE" w:rsidP="00924FEE">
      <w:pPr>
        <w:spacing w:line="240" w:lineRule="auto"/>
        <w:rPr>
          <w:lang w:val="it-IT" w:eastAsia="it-IT" w:bidi="ar-SA"/>
        </w:rPr>
      </w:pPr>
    </w:p>
    <w:p w14:paraId="56454CE6"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37 </w:t>
      </w:r>
    </w:p>
    <w:p w14:paraId="3BA3E54D" w14:textId="77777777" w:rsidR="00924FEE" w:rsidRDefault="00924FEE" w:rsidP="00924FEE">
      <w:pPr>
        <w:spacing w:line="240" w:lineRule="auto"/>
        <w:jc w:val="center"/>
        <w:rPr>
          <w:lang w:val="it-IT" w:eastAsia="it-IT" w:bidi="ar-SA"/>
        </w:rPr>
      </w:pPr>
      <w:r>
        <w:rPr>
          <w:b/>
          <w:bCs/>
          <w:lang w:val="it-IT" w:eastAsia="it-IT" w:bidi="ar-SA"/>
        </w:rPr>
        <w:t>Assicurazione del raccolto, degli animali e delle piante</w:t>
      </w:r>
    </w:p>
    <w:p w14:paraId="19A09B55" w14:textId="77777777" w:rsidR="00924FEE" w:rsidRDefault="00924FEE" w:rsidP="00924FEE">
      <w:pPr>
        <w:pStyle w:val="testo-leggedj-para-r1"/>
        <w:spacing w:line="240" w:lineRule="auto"/>
        <w:rPr>
          <w:lang w:val="it-IT" w:eastAsia="it-IT" w:bidi="ar-SA"/>
        </w:rPr>
      </w:pPr>
      <w:r>
        <w:rPr>
          <w:lang w:val="it-IT" w:eastAsia="it-IT" w:bidi="ar-SA"/>
        </w:rPr>
        <w:t xml:space="preserve">1. Il sostegno di cui all'articolo 36, paragrafo 1, lettera a), è concesso solo per le polizze assicurative che coprono le perdite causate da avversità atmosferiche, epizoozie, fitopatie o infestazioni parassitarie, da emergenze ambientali o da misure adottate ai sensi della </w:t>
      </w:r>
      <w:hyperlink w:anchor="/ricerca/fonti_documento?idDatabank=11&amp;idDocMaster=199156&amp;idUnitaDoc=1107443&amp;nVigUnitaDoc=1&amp;docIdx=1&amp;isCorrelazioniSearch=true&amp;correlatoA=Normativa" w:history="1">
        <w:r>
          <w:rPr>
            <w:rStyle w:val="alink"/>
            <w:lang w:val="it-IT" w:eastAsia="it-IT" w:bidi="ar-SA"/>
          </w:rPr>
          <w:t>direttiva 2000/29/CE</w:t>
        </w:r>
      </w:hyperlink>
      <w:r>
        <w:rPr>
          <w:lang w:val="it-IT" w:eastAsia="it-IT" w:bidi="ar-SA"/>
        </w:rPr>
        <w:t xml:space="preserve"> per eradicare o circoscrivere una fitopatia o un'infestazione parassitaria, che distruggano più del 20 % della produzione media annua dell'agricoltore nel triennio precedente o della sua produzione media triennale calcolata sui cinque anni precedenti, escludendo l'anno con la produzione più bassa e quello con la produzione più elevata. Possono essere utilizzati indici per calcolare la produzione annua dell'agricoltore. Il metodo di calcolo utilizzato deve consentire di determinare le perdite effettive di un singolo agricoltore in un determinato anno(1).</w:t>
      </w:r>
    </w:p>
    <w:p w14:paraId="4173D5FC" w14:textId="77777777" w:rsidR="00924FEE" w:rsidRDefault="00924FEE" w:rsidP="00924FEE">
      <w:pPr>
        <w:pStyle w:val="testo-leggedj-para-r1"/>
        <w:spacing w:line="240" w:lineRule="auto"/>
        <w:rPr>
          <w:lang w:val="it-IT" w:eastAsia="it-IT" w:bidi="ar-SA"/>
        </w:rPr>
      </w:pPr>
      <w:r>
        <w:rPr>
          <w:lang w:val="it-IT" w:eastAsia="it-IT" w:bidi="ar-SA"/>
        </w:rPr>
        <w:t>La misurazione della perdita registrata può essere adeguata alle caratteristiche specifiche di ciascun tipo di prodotto utilizzando:</w:t>
      </w:r>
    </w:p>
    <w:p w14:paraId="13E4F0AD" w14:textId="77777777" w:rsidR="00924FEE" w:rsidRDefault="00924FEE" w:rsidP="00924FEE">
      <w:pPr>
        <w:pStyle w:val="testo-leggedj-para-r1"/>
        <w:spacing w:line="240" w:lineRule="auto"/>
        <w:rPr>
          <w:lang w:val="it-IT" w:eastAsia="it-IT" w:bidi="ar-SA"/>
        </w:rPr>
      </w:pPr>
      <w:r>
        <w:rPr>
          <w:lang w:val="it-IT" w:eastAsia="it-IT" w:bidi="ar-SA"/>
        </w:rPr>
        <w:t>a) indici biologici (quantità di biomassa persa) o rendimenti equivalenti relativi alla perdita di raccolto definiti a livello aziendale, locale, regionale o nazionale; oppure</w:t>
      </w:r>
    </w:p>
    <w:p w14:paraId="50F1E54D" w14:textId="77777777" w:rsidR="00924FEE" w:rsidRDefault="00924FEE" w:rsidP="00924FEE">
      <w:pPr>
        <w:pStyle w:val="testo-leggedj-para-r1"/>
        <w:spacing w:line="240" w:lineRule="auto"/>
        <w:rPr>
          <w:lang w:val="it-IT" w:eastAsia="it-IT" w:bidi="ar-SA"/>
        </w:rPr>
      </w:pPr>
      <w:r>
        <w:rPr>
          <w:lang w:val="it-IT" w:eastAsia="it-IT" w:bidi="ar-SA"/>
        </w:rPr>
        <w:t>b) indici meteorologici (comprese precipitazioni e temperatura) definiti a livello locale, regionale o nazionale.</w:t>
      </w:r>
    </w:p>
    <w:p w14:paraId="6AF6AD9C" w14:textId="77777777" w:rsidR="00924FEE" w:rsidRDefault="00924FEE" w:rsidP="00924FEE">
      <w:pPr>
        <w:pStyle w:val="testo-leggedj-para-r1"/>
        <w:spacing w:line="240" w:lineRule="auto"/>
        <w:rPr>
          <w:lang w:val="it-IT" w:eastAsia="it-IT" w:bidi="ar-SA"/>
        </w:rPr>
      </w:pPr>
      <w:r>
        <w:rPr>
          <w:lang w:val="it-IT" w:eastAsia="it-IT" w:bidi="ar-SA"/>
        </w:rPr>
        <w:t>2. Il verificarsi di un'avversità atmosferica o l'insorgenza di un focolaio di epizoozia o fitopatia o di un'infestazione parassitaria o il verificarsi di un'emergenza ambientale devono essere formalmente riconosciuti come tali dall'autorità competente dello Stato membro interessato.</w:t>
      </w:r>
    </w:p>
    <w:p w14:paraId="146F366E" w14:textId="77777777" w:rsidR="00924FEE" w:rsidRDefault="00924FEE" w:rsidP="00924FEE">
      <w:pPr>
        <w:pStyle w:val="testo-leggedj-para-r1"/>
        <w:spacing w:line="240" w:lineRule="auto"/>
        <w:rPr>
          <w:lang w:val="it-IT" w:eastAsia="it-IT" w:bidi="ar-SA"/>
        </w:rPr>
      </w:pPr>
      <w:r>
        <w:rPr>
          <w:lang w:val="it-IT" w:eastAsia="it-IT" w:bidi="ar-SA"/>
        </w:rPr>
        <w:t>Se del caso, gli Stati membri possono prestabilire i criteri in base ai quali detto riconoscimento formale si considera emesso.</w:t>
      </w:r>
    </w:p>
    <w:p w14:paraId="0987DE13" w14:textId="77777777" w:rsidR="00924FEE" w:rsidRDefault="00924FEE" w:rsidP="00924FEE">
      <w:pPr>
        <w:pStyle w:val="testo-leggedj-para-r1"/>
        <w:spacing w:line="240" w:lineRule="auto"/>
        <w:rPr>
          <w:lang w:val="it-IT" w:eastAsia="it-IT" w:bidi="ar-SA"/>
        </w:rPr>
      </w:pPr>
      <w:r>
        <w:rPr>
          <w:lang w:val="it-IT" w:eastAsia="it-IT" w:bidi="ar-SA"/>
        </w:rPr>
        <w:t xml:space="preserve">3. Per quanto riguarda le epizoozie, le compensazioni finanziarie di cui all'articolo 36, paragrafo 1, lettera a), possono essere concesse soltanto per le malattie citate nell'elenco </w:t>
      </w:r>
      <w:r>
        <w:rPr>
          <w:lang w:val="it-IT" w:eastAsia="it-IT" w:bidi="ar-SA"/>
        </w:rPr>
        <w:lastRenderedPageBreak/>
        <w:t xml:space="preserve">delle epizoozie stilato dall'Organizzazione mondiale per la salute animale o nell'allegato della </w:t>
      </w:r>
      <w:hyperlink w:anchor="/ricerca/fonti_documento?idDatabank=11&amp;idDocMaster=189761&amp;idUnitaDoc=1047803&amp;nVigUnitaDoc=1&amp;docIdx=1&amp;isCorrelazioniSearch=true&amp;correlatoA=Normativa" w:history="1">
        <w:r>
          <w:rPr>
            <w:rStyle w:val="alink"/>
            <w:lang w:val="it-IT" w:eastAsia="it-IT" w:bidi="ar-SA"/>
          </w:rPr>
          <w:t>decisione 2009/470/CE</w:t>
        </w:r>
      </w:hyperlink>
      <w:r>
        <w:rPr>
          <w:lang w:val="it-IT" w:eastAsia="it-IT" w:bidi="ar-SA"/>
        </w:rPr>
        <w:t>.</w:t>
      </w:r>
    </w:p>
    <w:p w14:paraId="3C5F36A6" w14:textId="77777777" w:rsidR="00924FEE" w:rsidRDefault="00924FEE" w:rsidP="00924FEE">
      <w:pPr>
        <w:pStyle w:val="testo-leggedj-para-r1"/>
        <w:spacing w:line="240" w:lineRule="auto"/>
        <w:rPr>
          <w:lang w:val="it-IT" w:eastAsia="it-IT" w:bidi="ar-SA"/>
        </w:rPr>
      </w:pPr>
      <w:r>
        <w:rPr>
          <w:lang w:val="it-IT" w:eastAsia="it-IT" w:bidi="ar-SA"/>
        </w:rPr>
        <w:t>4. Gli indennizzi versati dalle assicurazioni non compensano più del costo totale di sostituzione delle perdite di cui all'articolo 36, paragrafo 1, lettera a), e non comportano obblighi né indicazioni circa il tipo o la quantità della produzione futura.</w:t>
      </w:r>
    </w:p>
    <w:p w14:paraId="2BC05D8A" w14:textId="77777777" w:rsidR="00924FEE" w:rsidRDefault="00924FEE" w:rsidP="00924FEE">
      <w:pPr>
        <w:pStyle w:val="testo-leggedj-para-r1"/>
        <w:spacing w:line="240" w:lineRule="auto"/>
        <w:rPr>
          <w:lang w:val="it-IT" w:eastAsia="it-IT" w:bidi="ar-SA"/>
        </w:rPr>
      </w:pPr>
      <w:r>
        <w:rPr>
          <w:lang w:val="it-IT" w:eastAsia="it-IT" w:bidi="ar-SA"/>
        </w:rPr>
        <w:t>Gli Stati membri possono limitare l'importo sovvenzionabile del premio applicando opportuni massimali.</w:t>
      </w:r>
    </w:p>
    <w:p w14:paraId="0DD14BCE" w14:textId="77777777" w:rsidR="00924FEE" w:rsidRDefault="00924FEE" w:rsidP="00924FEE">
      <w:pPr>
        <w:pStyle w:val="testo-leggedj-para-r1"/>
        <w:spacing w:line="240" w:lineRule="auto"/>
        <w:rPr>
          <w:lang w:val="it-IT" w:eastAsia="it-IT" w:bidi="ar-SA"/>
        </w:rPr>
      </w:pPr>
      <w:r>
        <w:rPr>
          <w:lang w:val="it-IT" w:eastAsia="it-IT" w:bidi="ar-SA"/>
        </w:rPr>
        <w:t>5. Il sostegno è limitato all'aliquota massima indicata nell'allegato II.</w:t>
      </w:r>
    </w:p>
    <w:p w14:paraId="3155DB0E" w14:textId="77777777" w:rsidR="00924FEE" w:rsidRDefault="00924FEE" w:rsidP="00924FEE">
      <w:pPr>
        <w:spacing w:line="240" w:lineRule="auto"/>
        <w:rPr>
          <w:sz w:val="18"/>
          <w:szCs w:val="18"/>
          <w:lang w:val="it-IT" w:eastAsia="it-IT" w:bidi="ar-SA"/>
        </w:rPr>
      </w:pPr>
      <w:r>
        <w:rPr>
          <w:sz w:val="18"/>
          <w:szCs w:val="18"/>
          <w:lang w:val="it-IT" w:eastAsia="it-IT" w:bidi="ar-SA"/>
        </w:rPr>
        <w:t>[1]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45C16AEC" w14:textId="77777777" w:rsidR="00924FEE" w:rsidRDefault="00924FEE" w:rsidP="00924FEE">
      <w:pPr>
        <w:spacing w:line="240" w:lineRule="auto"/>
        <w:rPr>
          <w:lang w:val="it-IT" w:eastAsia="it-IT" w:bidi="ar-SA"/>
        </w:rPr>
      </w:pPr>
    </w:p>
    <w:p w14:paraId="282FBA79"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38 </w:t>
      </w:r>
    </w:p>
    <w:p w14:paraId="4A118C86" w14:textId="77777777" w:rsidR="00924FEE" w:rsidRDefault="00924FEE" w:rsidP="00924FEE">
      <w:pPr>
        <w:spacing w:line="240" w:lineRule="auto"/>
        <w:jc w:val="center"/>
        <w:rPr>
          <w:lang w:val="it-IT" w:eastAsia="it-IT" w:bidi="ar-SA"/>
        </w:rPr>
      </w:pPr>
      <w:r>
        <w:rPr>
          <w:b/>
          <w:bCs/>
          <w:lang w:val="it-IT" w:eastAsia="it-IT" w:bidi="ar-SA"/>
        </w:rPr>
        <w:t>Fondi di mutualizzazione per le avversità atmosferiche, per le epizoozie e le fitopatie, per le infestazioni parassitarie e per le emergenze ambientali</w:t>
      </w:r>
    </w:p>
    <w:p w14:paraId="1E48BEFB" w14:textId="77777777" w:rsidR="00924FEE" w:rsidRDefault="00924FEE" w:rsidP="00924FEE">
      <w:pPr>
        <w:pStyle w:val="testo-leggedj-para-r1"/>
        <w:spacing w:line="240" w:lineRule="auto"/>
        <w:rPr>
          <w:lang w:val="it-IT" w:eastAsia="it-IT" w:bidi="ar-SA"/>
        </w:rPr>
      </w:pPr>
      <w:r>
        <w:rPr>
          <w:lang w:val="it-IT" w:eastAsia="it-IT" w:bidi="ar-SA"/>
        </w:rPr>
        <w:t>1. Possono beneficiare del sostegno i fondi di mutualizzazione che:</w:t>
      </w:r>
    </w:p>
    <w:p w14:paraId="67D375E7" w14:textId="77777777" w:rsidR="00924FEE" w:rsidRDefault="00924FEE" w:rsidP="00924FEE">
      <w:pPr>
        <w:pStyle w:val="testo-leggedj-para-r1"/>
        <w:spacing w:line="240" w:lineRule="auto"/>
        <w:rPr>
          <w:lang w:val="it-IT" w:eastAsia="it-IT" w:bidi="ar-SA"/>
        </w:rPr>
      </w:pPr>
      <w:r>
        <w:rPr>
          <w:lang w:val="it-IT" w:eastAsia="it-IT" w:bidi="ar-SA"/>
        </w:rPr>
        <w:t>a) sono riconosciuti dall'autorità competente conformemente all'ordinamento nazionale;</w:t>
      </w:r>
    </w:p>
    <w:p w14:paraId="365F0D23" w14:textId="77777777" w:rsidR="00924FEE" w:rsidRDefault="00924FEE" w:rsidP="00924FEE">
      <w:pPr>
        <w:pStyle w:val="testo-leggedj-para-r1"/>
        <w:spacing w:line="240" w:lineRule="auto"/>
        <w:rPr>
          <w:lang w:val="it-IT" w:eastAsia="it-IT" w:bidi="ar-SA"/>
        </w:rPr>
      </w:pPr>
      <w:r>
        <w:rPr>
          <w:lang w:val="it-IT" w:eastAsia="it-IT" w:bidi="ar-SA"/>
        </w:rPr>
        <w:t>b) praticano una politica di trasparenza dei movimenti finanziari in entrata e in uscita;</w:t>
      </w:r>
    </w:p>
    <w:p w14:paraId="7787D8F8" w14:textId="77777777" w:rsidR="00924FEE" w:rsidRDefault="00924FEE" w:rsidP="00924FEE">
      <w:pPr>
        <w:pStyle w:val="testo-leggedj-para-r1"/>
        <w:spacing w:line="240" w:lineRule="auto"/>
        <w:rPr>
          <w:lang w:val="it-IT" w:eastAsia="it-IT" w:bidi="ar-SA"/>
        </w:rPr>
      </w:pPr>
      <w:r>
        <w:rPr>
          <w:lang w:val="it-IT" w:eastAsia="it-IT" w:bidi="ar-SA"/>
        </w:rPr>
        <w:t>c) applicano norme chiare per l'attribuzione della responsabilità debitoria.</w:t>
      </w:r>
    </w:p>
    <w:p w14:paraId="319B9975" w14:textId="77777777" w:rsidR="00924FEE" w:rsidRDefault="00924FEE" w:rsidP="00924FEE">
      <w:pPr>
        <w:pStyle w:val="testo-leggedj-para-r1"/>
        <w:spacing w:line="240" w:lineRule="auto"/>
        <w:rPr>
          <w:lang w:val="it-IT" w:eastAsia="it-IT" w:bidi="ar-SA"/>
        </w:rPr>
      </w:pPr>
      <w:r>
        <w:rPr>
          <w:lang w:val="it-IT" w:eastAsia="it-IT" w:bidi="ar-SA"/>
        </w:rPr>
        <w:t>2. Gli Stati membri definiscono le regole per la costituzione e la gestione dei fondi di mutualizzazione, in particolare per quanto riguarda la concessione di pagamenti compensativi e l'ammissibilità degli agricoltori in caso di crisi, nonché la gestione di tali regole e il controllo della loro applicazione. Gli Stati membri provvedono affinché i fondi prevedano sanzioni in caso di negligenza da parte dell'agricoltore.</w:t>
      </w:r>
    </w:p>
    <w:p w14:paraId="395ADE9E" w14:textId="77777777" w:rsidR="00924FEE" w:rsidRDefault="00924FEE" w:rsidP="00924FEE">
      <w:pPr>
        <w:pStyle w:val="testo-leggedj-para-r1"/>
        <w:spacing w:line="240" w:lineRule="auto"/>
        <w:rPr>
          <w:lang w:val="it-IT" w:eastAsia="it-IT" w:bidi="ar-SA"/>
        </w:rPr>
      </w:pPr>
      <w:r>
        <w:rPr>
          <w:lang w:val="it-IT" w:eastAsia="it-IT" w:bidi="ar-SA"/>
        </w:rPr>
        <w:t>Il verificarsi degli eventi menzionati all'articolo 36, paragrafo 1, lettera b), deve essere formalmente riconosciuto come tale dall'autorità competente dello Stato membro interessato.</w:t>
      </w:r>
    </w:p>
    <w:p w14:paraId="6E1B2751" w14:textId="77777777" w:rsidR="00924FEE" w:rsidRDefault="00924FEE" w:rsidP="00924FEE">
      <w:pPr>
        <w:pStyle w:val="testo-leggedj-para-r1"/>
        <w:spacing w:line="240" w:lineRule="auto"/>
        <w:rPr>
          <w:lang w:val="it-IT" w:eastAsia="it-IT" w:bidi="ar-SA"/>
        </w:rPr>
      </w:pPr>
      <w:r>
        <w:rPr>
          <w:lang w:val="it-IT" w:eastAsia="it-IT" w:bidi="ar-SA"/>
        </w:rPr>
        <w:t>3. I contributi finanziari di cui all'articolo 36, paragrafo 1, lettera b), possono coprire soltanto:</w:t>
      </w:r>
    </w:p>
    <w:p w14:paraId="22C0390D" w14:textId="77777777" w:rsidR="00924FEE" w:rsidRDefault="00924FEE" w:rsidP="00924FEE">
      <w:pPr>
        <w:pStyle w:val="testo-leggedj-para-r1"/>
        <w:spacing w:line="240" w:lineRule="auto"/>
        <w:rPr>
          <w:lang w:val="it-IT" w:eastAsia="it-IT" w:bidi="ar-SA"/>
        </w:rPr>
      </w:pPr>
      <w:r>
        <w:rPr>
          <w:lang w:val="it-IT" w:eastAsia="it-IT" w:bidi="ar-SA"/>
        </w:rPr>
        <w:t>a) le spese amministrative di costituzione del fondo di mutualizzazione, ripartite al massimo su un triennio in misura decrescente;</w:t>
      </w:r>
    </w:p>
    <w:p w14:paraId="43596D7B" w14:textId="77777777" w:rsidR="00924FEE" w:rsidRDefault="00924FEE" w:rsidP="00924FEE">
      <w:pPr>
        <w:pStyle w:val="testo-leggedj-para-r1"/>
        <w:spacing w:line="240" w:lineRule="auto"/>
        <w:rPr>
          <w:lang w:val="it-IT" w:eastAsia="it-IT" w:bidi="ar-SA"/>
        </w:rPr>
      </w:pPr>
      <w:r>
        <w:rPr>
          <w:lang w:val="it-IT" w:eastAsia="it-IT" w:bidi="ar-SA"/>
        </w:rPr>
        <w:t>b) gli importi versati dal fondo di mutualizzazione a titolo di compensazioni finanziarie agli agricoltori. Il contributo finanziario può inoltre riferirsi agli interessi sui mutui commerciali contratti dal fondo di mutualizzazione ai fini del pagamento delle compensazioni finanziarie agli agricoltori in caso di crisi;</w:t>
      </w:r>
    </w:p>
    <w:p w14:paraId="58C9E5A4" w14:textId="77777777" w:rsidR="00924FEE" w:rsidRDefault="00924FEE" w:rsidP="00924FEE">
      <w:pPr>
        <w:pStyle w:val="testo-leggedj-para-r1"/>
        <w:spacing w:line="240" w:lineRule="auto"/>
        <w:rPr>
          <w:lang w:val="it-IT" w:eastAsia="it-IT" w:bidi="ar-SA"/>
        </w:rPr>
      </w:pPr>
      <w:r>
        <w:rPr>
          <w:lang w:val="it-IT" w:eastAsia="it-IT" w:bidi="ar-SA"/>
        </w:rPr>
        <w:t>c) le integrazioni dei pagamenti annuali al fondo;</w:t>
      </w:r>
    </w:p>
    <w:p w14:paraId="547BBC3D" w14:textId="77777777" w:rsidR="00924FEE" w:rsidRDefault="00924FEE" w:rsidP="00924FEE">
      <w:pPr>
        <w:pStyle w:val="testo-leggedj-para-r1"/>
        <w:spacing w:line="240" w:lineRule="auto"/>
        <w:rPr>
          <w:lang w:val="it-IT" w:eastAsia="it-IT" w:bidi="ar-SA"/>
        </w:rPr>
      </w:pPr>
      <w:r>
        <w:rPr>
          <w:lang w:val="it-IT" w:eastAsia="it-IT" w:bidi="ar-SA"/>
        </w:rPr>
        <w:t>d) il capitale iniziale del fondo di mutualizzazione(1).</w:t>
      </w:r>
    </w:p>
    <w:p w14:paraId="29F14D13" w14:textId="77777777" w:rsidR="00924FEE" w:rsidRDefault="00924FEE" w:rsidP="00924FEE">
      <w:pPr>
        <w:pStyle w:val="testo-leggedj-para-r1"/>
        <w:spacing w:line="240" w:lineRule="auto"/>
        <w:rPr>
          <w:lang w:val="it-IT" w:eastAsia="it-IT" w:bidi="ar-SA"/>
        </w:rPr>
      </w:pPr>
      <w:r>
        <w:rPr>
          <w:rStyle w:val="dj-testo-evidenziato"/>
          <w:lang w:val="it-IT" w:eastAsia="it-IT" w:bidi="ar-SA"/>
        </w:rPr>
        <w:t>Il sostegno di cui all'articolo 36, paragrafo 1, lettera b), è concesso solo per coprire le perdite causate da avversità atmosferiche, da epizoozie o fitopatie, da infestazioni parassitarie o da misure adottate ai sensi della direttiva 2000/29/CE per eradicare o circoscrivere una fitopatia, un'infestazione parassitaria o un'emergenza ambientale, che distruggano più del 30 % della produzione media annua dell'agricoltore nel triennio precedente o della sua produzione media triennale calcolata sui cinque anni precedenti, escludendo l'anno con la produzione più bassa e quello con la produzione più elevata. Possono essere utilizzati indici per calcolare la produzione annua dell'agricoltore. Il metodo di calcolo utilizzato deve consentire di determinare le perdite effettive di un singolo agricoltore in un determinato anno. Gli Stati membri possono decidere di ridurre tale percentuale di produzione del 30 %, ma non al di sotto del 20 % (2)</w:t>
      </w:r>
      <w:r>
        <w:rPr>
          <w:lang w:val="it-IT" w:eastAsia="it-IT" w:bidi="ar-SA"/>
        </w:rPr>
        <w:t>.</w:t>
      </w:r>
    </w:p>
    <w:p w14:paraId="29268E5F" w14:textId="77777777" w:rsidR="00924FEE" w:rsidRDefault="00924FEE" w:rsidP="00924FEE">
      <w:pPr>
        <w:pStyle w:val="testo-leggedj-para-r1"/>
        <w:spacing w:line="240" w:lineRule="auto"/>
        <w:rPr>
          <w:lang w:val="it-IT" w:eastAsia="it-IT" w:bidi="ar-SA"/>
        </w:rPr>
      </w:pPr>
      <w:r>
        <w:rPr>
          <w:lang w:val="it-IT" w:eastAsia="it-IT" w:bidi="ar-SA"/>
        </w:rPr>
        <w:t>[Il capitale sociale iniziale non può essere costituito da fondi pubblici.](3)</w:t>
      </w:r>
    </w:p>
    <w:p w14:paraId="47309C64" w14:textId="77777777" w:rsidR="00924FEE" w:rsidRDefault="00924FEE" w:rsidP="00924FEE">
      <w:pPr>
        <w:pStyle w:val="testo-leggedj-para-r1"/>
        <w:spacing w:line="240" w:lineRule="auto"/>
        <w:rPr>
          <w:lang w:val="it-IT" w:eastAsia="it-IT" w:bidi="ar-SA"/>
        </w:rPr>
      </w:pPr>
      <w:r>
        <w:rPr>
          <w:lang w:val="it-IT" w:eastAsia="it-IT" w:bidi="ar-SA"/>
        </w:rPr>
        <w:t xml:space="preserve">4. Per quanto riguarda le epizoozie, le compensazioni finanziarie di cui all'articolo 36, paragrafo 1, lettera b), possono essere concesse per le malattie citate nell'elenco delle epizoozie stilato dall'Organizzazione mondiale per la salute animale o nell'allegato della </w:t>
      </w:r>
      <w:hyperlink w:anchor="/ricerca/fonti_documento?idDatabank=11&amp;idDocMaster=189761&amp;idUnitaDoc=1047803&amp;nVigUnitaDoc=1&amp;docIdx=1&amp;isCorrelazioniSearch=true&amp;correlatoA=Normativa" w:history="1">
        <w:r>
          <w:rPr>
            <w:rStyle w:val="alink"/>
            <w:lang w:val="it-IT" w:eastAsia="it-IT" w:bidi="ar-SA"/>
          </w:rPr>
          <w:t>decisione 2009/470/CE</w:t>
        </w:r>
      </w:hyperlink>
      <w:r>
        <w:rPr>
          <w:lang w:val="it-IT" w:eastAsia="it-IT" w:bidi="ar-SA"/>
        </w:rPr>
        <w:t>.</w:t>
      </w:r>
    </w:p>
    <w:p w14:paraId="2EEC85EA" w14:textId="77777777" w:rsidR="00924FEE" w:rsidRDefault="00924FEE" w:rsidP="00924FEE">
      <w:pPr>
        <w:pStyle w:val="testo-leggedj-para-r1"/>
        <w:spacing w:line="240" w:lineRule="auto"/>
        <w:rPr>
          <w:lang w:val="it-IT" w:eastAsia="it-IT" w:bidi="ar-SA"/>
        </w:rPr>
      </w:pPr>
      <w:r>
        <w:rPr>
          <w:lang w:val="it-IT" w:eastAsia="it-IT" w:bidi="ar-SA"/>
        </w:rPr>
        <w:lastRenderedPageBreak/>
        <w:t>5. Il sostegno è limitato all'aliquota di sostegno massima indicata nell'allegato II. Il sostegno di cui al paragrafo 3, lettera b), tiene conto dell'eventuale sostegno già fornito a norma del paragrafo 3, lettere c) e d)(4).</w:t>
      </w:r>
    </w:p>
    <w:p w14:paraId="42DA36D4" w14:textId="77777777" w:rsidR="00924FEE" w:rsidRDefault="00924FEE" w:rsidP="00924FEE">
      <w:pPr>
        <w:pStyle w:val="testo-leggedj-para-r1"/>
        <w:spacing w:line="240" w:lineRule="auto"/>
        <w:rPr>
          <w:lang w:val="it-IT" w:eastAsia="it-IT" w:bidi="ar-SA"/>
        </w:rPr>
      </w:pPr>
      <w:r>
        <w:rPr>
          <w:lang w:val="it-IT" w:eastAsia="it-IT" w:bidi="ar-SA"/>
        </w:rPr>
        <w:t>Gli Stati membri possono limitare i costi sovvenzionabili applicando:</w:t>
      </w:r>
    </w:p>
    <w:p w14:paraId="48762E2B" w14:textId="77777777" w:rsidR="00924FEE" w:rsidRDefault="00924FEE" w:rsidP="00924FEE">
      <w:pPr>
        <w:pStyle w:val="testo-leggedj-para-r1"/>
        <w:spacing w:line="240" w:lineRule="auto"/>
        <w:rPr>
          <w:lang w:val="it-IT" w:eastAsia="it-IT" w:bidi="ar-SA"/>
        </w:rPr>
      </w:pPr>
      <w:r>
        <w:rPr>
          <w:lang w:val="it-IT" w:eastAsia="it-IT" w:bidi="ar-SA"/>
        </w:rPr>
        <w:t>a) massimali per fondo;</w:t>
      </w:r>
    </w:p>
    <w:p w14:paraId="78D60893" w14:textId="77777777" w:rsidR="00924FEE" w:rsidRDefault="00924FEE" w:rsidP="00924FEE">
      <w:pPr>
        <w:pStyle w:val="testo-leggedj-para-r1"/>
        <w:spacing w:line="240" w:lineRule="auto"/>
        <w:rPr>
          <w:lang w:val="it-IT" w:eastAsia="it-IT" w:bidi="ar-SA"/>
        </w:rPr>
      </w:pPr>
      <w:r>
        <w:rPr>
          <w:lang w:val="it-IT" w:eastAsia="it-IT" w:bidi="ar-SA"/>
        </w:rPr>
        <w:t>b) massimali unitari adeguati.</w:t>
      </w:r>
    </w:p>
    <w:p w14:paraId="4613F141" w14:textId="77777777" w:rsidR="00924FEE" w:rsidRDefault="00924FEE" w:rsidP="00924FEE">
      <w:pPr>
        <w:spacing w:line="240" w:lineRule="auto"/>
        <w:rPr>
          <w:sz w:val="18"/>
          <w:szCs w:val="18"/>
          <w:lang w:val="it-IT" w:eastAsia="it-IT" w:bidi="ar-SA"/>
        </w:rPr>
      </w:pPr>
      <w:r>
        <w:rPr>
          <w:sz w:val="18"/>
          <w:szCs w:val="18"/>
          <w:lang w:val="it-IT" w:eastAsia="it-IT" w:bidi="ar-SA"/>
        </w:rPr>
        <w:t>[1] Comma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061B1C37" w14:textId="77777777" w:rsidR="00924FEE" w:rsidRDefault="00924FEE" w:rsidP="00924FEE">
      <w:pPr>
        <w:spacing w:line="240" w:lineRule="auto"/>
        <w:rPr>
          <w:sz w:val="18"/>
          <w:szCs w:val="18"/>
          <w:lang w:val="it-IT" w:eastAsia="it-IT" w:bidi="ar-SA"/>
        </w:rPr>
      </w:pPr>
      <w:r>
        <w:rPr>
          <w:sz w:val="18"/>
          <w:szCs w:val="18"/>
          <w:lang w:val="it-IT" w:eastAsia="it-IT" w:bidi="ar-SA"/>
        </w:rPr>
        <w:t xml:space="preserve">[2] </w:t>
      </w:r>
      <w:r>
        <w:rPr>
          <w:rStyle w:val="dj-testo-evidenziato"/>
          <w:sz w:val="18"/>
          <w:szCs w:val="18"/>
          <w:lang w:val="it-IT" w:eastAsia="it-IT" w:bidi="ar-SA"/>
        </w:rPr>
        <w:t>Comma sostituito dall'</w:t>
      </w:r>
      <w:hyperlink w:anchor="/ricerca/fonti_documento?idDatabank=11&amp;idDocMaster=8865645&amp;idUnitaDoc=57106129&amp;nVigUnitaDoc=1&amp;docIdx=1&amp;isCorrelazioniSearch=true&amp;correlatoA=Normativa" w:history="1">
        <w:r>
          <w:rPr>
            <w:rStyle w:val="alink"/>
            <w:sz w:val="18"/>
            <w:szCs w:val="18"/>
            <w:shd w:val="clear" w:color="auto" w:fill="F5E5D5"/>
            <w:lang w:val="it-IT" w:eastAsia="it-IT" w:bidi="ar-SA"/>
          </w:rPr>
          <w:t>articolo 7 del Regolamento del Parlamento 23 dicembre 2020, n. 2220</w:t>
        </w:r>
      </w:hyperlink>
      <w:r>
        <w:rPr>
          <w:rStyle w:val="dj-testo-evidenziato"/>
          <w:sz w:val="18"/>
          <w:szCs w:val="18"/>
          <w:lang w:val="it-IT" w:eastAsia="it-IT" w:bidi="ar-SA"/>
        </w:rPr>
        <w:t>. </w:t>
      </w:r>
    </w:p>
    <w:p w14:paraId="59161609" w14:textId="77777777" w:rsidR="00924FEE" w:rsidRDefault="00924FEE" w:rsidP="00924FEE">
      <w:pPr>
        <w:spacing w:line="240" w:lineRule="auto"/>
        <w:rPr>
          <w:sz w:val="18"/>
          <w:szCs w:val="18"/>
          <w:lang w:val="it-IT" w:eastAsia="it-IT" w:bidi="ar-SA"/>
        </w:rPr>
      </w:pPr>
      <w:r>
        <w:rPr>
          <w:sz w:val="18"/>
          <w:szCs w:val="18"/>
          <w:lang w:val="it-IT" w:eastAsia="it-IT" w:bidi="ar-SA"/>
        </w:rPr>
        <w:t>[3] Comma soppresso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3F584FFB" w14:textId="77777777" w:rsidR="00924FEE" w:rsidRDefault="00924FEE" w:rsidP="00924FEE">
      <w:pPr>
        <w:spacing w:line="240" w:lineRule="auto"/>
        <w:rPr>
          <w:sz w:val="18"/>
          <w:szCs w:val="18"/>
          <w:lang w:val="it-IT" w:eastAsia="it-IT" w:bidi="ar-SA"/>
        </w:rPr>
      </w:pPr>
      <w:r>
        <w:rPr>
          <w:sz w:val="18"/>
          <w:szCs w:val="18"/>
          <w:lang w:val="it-IT" w:eastAsia="it-IT" w:bidi="ar-SA"/>
        </w:rPr>
        <w:t>[4] Comma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3A011B90" w14:textId="77777777" w:rsidR="00924FEE" w:rsidRDefault="00924FEE" w:rsidP="00924FEE">
      <w:pPr>
        <w:spacing w:line="240" w:lineRule="auto"/>
        <w:rPr>
          <w:lang w:val="it-IT" w:eastAsia="it-IT" w:bidi="ar-SA"/>
        </w:rPr>
      </w:pPr>
    </w:p>
    <w:p w14:paraId="578B32CF"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39 </w:t>
      </w:r>
    </w:p>
    <w:p w14:paraId="122924B1" w14:textId="77777777" w:rsidR="00924FEE" w:rsidRDefault="00924FEE" w:rsidP="00924FEE">
      <w:pPr>
        <w:spacing w:line="240" w:lineRule="auto"/>
        <w:jc w:val="center"/>
        <w:rPr>
          <w:lang w:val="it-IT" w:eastAsia="it-IT" w:bidi="ar-SA"/>
        </w:rPr>
      </w:pPr>
      <w:r>
        <w:rPr>
          <w:b/>
          <w:bCs/>
          <w:lang w:val="it-IT" w:eastAsia="it-IT" w:bidi="ar-SA"/>
        </w:rPr>
        <w:t>Strumento di stabilizzazione del reddito per gli agricoltori di tutti i settori (1)</w:t>
      </w:r>
    </w:p>
    <w:p w14:paraId="4F714695" w14:textId="77777777" w:rsidR="00924FEE" w:rsidRDefault="00924FEE" w:rsidP="00924FEE">
      <w:pPr>
        <w:pStyle w:val="testo-leggedj-para-r1"/>
        <w:spacing w:line="240" w:lineRule="auto"/>
        <w:rPr>
          <w:lang w:val="it-IT" w:eastAsia="it-IT" w:bidi="ar-SA"/>
        </w:rPr>
      </w:pPr>
      <w:r>
        <w:rPr>
          <w:rStyle w:val="dj-testo-evidenziato"/>
          <w:lang w:val="it-IT" w:eastAsia="it-IT" w:bidi="ar-SA"/>
        </w:rPr>
        <w:t>1. Il sostegno di cui all'articolo 36, paragrafo 1, lettera c), è concesso soltanto se il calo di reddito è superiore al 30 % del reddito medio annuo del singolo agricoltore nei tre anni precedenti o del suo reddito medio triennale calcolato sui cinque anni precedenti, escludendo l'anno con il reddito più basso e quello con il reddito più elevato. Ai fini dell'articolo 36, paragrafo 1, lettera c), per «reddito» si intende la somma degli introiti che l'agricoltore ricava dalla vendita della propria produzione sul mercato, incluso qualsiasi tipo di sostegno pubblico e detratti i costi dei fattori di produzione. Gli indennizzi versati agli agricoltori dal fondo di mutualizzazione compensano in misura inferiore al 70 % la perdita di reddito subita dal produttore nell'anno in cui quest'ultimo diventa ammissibile all'assistenza in questione. Possono essere utilizzati indici per calcolare la perdita annua di reddito subita dall'agricoltore. Gli Stati membri possono decidere di ridurre tale percentuale del 30 %, ma non al di sotto del 20 %(2)</w:t>
      </w:r>
      <w:r>
        <w:rPr>
          <w:lang w:val="it-IT" w:eastAsia="it-IT" w:bidi="ar-SA"/>
        </w:rPr>
        <w:t>.</w:t>
      </w:r>
    </w:p>
    <w:p w14:paraId="47ADA961" w14:textId="77777777" w:rsidR="00924FEE" w:rsidRDefault="00924FEE" w:rsidP="00924FEE">
      <w:pPr>
        <w:pStyle w:val="testo-leggedj-para-r1"/>
        <w:spacing w:line="240" w:lineRule="auto"/>
        <w:rPr>
          <w:lang w:val="it-IT" w:eastAsia="it-IT" w:bidi="ar-SA"/>
        </w:rPr>
      </w:pPr>
      <w:r>
        <w:rPr>
          <w:lang w:val="it-IT" w:eastAsia="it-IT" w:bidi="ar-SA"/>
        </w:rPr>
        <w:t>2. Possono beneficiare del sostegno i fondi di mutualizzazione che:</w:t>
      </w:r>
    </w:p>
    <w:p w14:paraId="6C47D39D" w14:textId="77777777" w:rsidR="00924FEE" w:rsidRDefault="00924FEE" w:rsidP="00924FEE">
      <w:pPr>
        <w:pStyle w:val="testo-leggedj-para-r1"/>
        <w:spacing w:line="240" w:lineRule="auto"/>
        <w:rPr>
          <w:lang w:val="it-IT" w:eastAsia="it-IT" w:bidi="ar-SA"/>
        </w:rPr>
      </w:pPr>
      <w:r>
        <w:rPr>
          <w:lang w:val="it-IT" w:eastAsia="it-IT" w:bidi="ar-SA"/>
        </w:rPr>
        <w:t>a) sono riconosciuti dall'autorità competente conformemente all'ordinamento nazionale;</w:t>
      </w:r>
    </w:p>
    <w:p w14:paraId="1A8E2506" w14:textId="77777777" w:rsidR="00924FEE" w:rsidRDefault="00924FEE" w:rsidP="00924FEE">
      <w:pPr>
        <w:pStyle w:val="testo-leggedj-para-r1"/>
        <w:spacing w:line="240" w:lineRule="auto"/>
        <w:rPr>
          <w:lang w:val="it-IT" w:eastAsia="it-IT" w:bidi="ar-SA"/>
        </w:rPr>
      </w:pPr>
      <w:r>
        <w:rPr>
          <w:lang w:val="it-IT" w:eastAsia="it-IT" w:bidi="ar-SA"/>
        </w:rPr>
        <w:t>b) praticano una politica di trasparenza dei movimenti finanziari in entrata e in uscita;</w:t>
      </w:r>
    </w:p>
    <w:p w14:paraId="5A2F1BBD" w14:textId="77777777" w:rsidR="00924FEE" w:rsidRDefault="00924FEE" w:rsidP="00924FEE">
      <w:pPr>
        <w:pStyle w:val="testo-leggedj-para-r1"/>
        <w:spacing w:line="240" w:lineRule="auto"/>
        <w:rPr>
          <w:lang w:val="it-IT" w:eastAsia="it-IT" w:bidi="ar-SA"/>
        </w:rPr>
      </w:pPr>
      <w:r>
        <w:rPr>
          <w:lang w:val="it-IT" w:eastAsia="it-IT" w:bidi="ar-SA"/>
        </w:rPr>
        <w:t>c) applicano norme chiare per l'attribuzione della responsabilità debitoria.</w:t>
      </w:r>
    </w:p>
    <w:p w14:paraId="5C480337" w14:textId="77777777" w:rsidR="00924FEE" w:rsidRDefault="00924FEE" w:rsidP="00924FEE">
      <w:pPr>
        <w:pStyle w:val="testo-leggedj-para-r1"/>
        <w:spacing w:line="240" w:lineRule="auto"/>
        <w:rPr>
          <w:lang w:val="it-IT" w:eastAsia="it-IT" w:bidi="ar-SA"/>
        </w:rPr>
      </w:pPr>
      <w:r>
        <w:rPr>
          <w:lang w:val="it-IT" w:eastAsia="it-IT" w:bidi="ar-SA"/>
        </w:rPr>
        <w:t>3. Gli Stati membri definiscono le regole per la costituzione e la gestione dei fondi di mutualizzazione, in particolare, per quanto riguarda la concessione di pagamenti compensativi agli agricoltori in caso di crisi e la gestione di tali regole e il controllo della loro applicazione. Gli Stati membri provvedono affinché i fondi prevedano sanzioni in caso di negligenza da parte dell'agricoltore.</w:t>
      </w:r>
    </w:p>
    <w:p w14:paraId="51B041DA" w14:textId="77777777" w:rsidR="00924FEE" w:rsidRDefault="00924FEE" w:rsidP="00924FEE">
      <w:pPr>
        <w:pStyle w:val="testo-leggedj-para-r1"/>
        <w:spacing w:line="240" w:lineRule="auto"/>
        <w:rPr>
          <w:lang w:val="it-IT" w:eastAsia="it-IT" w:bidi="ar-SA"/>
        </w:rPr>
      </w:pPr>
      <w:r>
        <w:rPr>
          <w:lang w:val="it-IT" w:eastAsia="it-IT" w:bidi="ar-SA"/>
        </w:rPr>
        <w:t>4. I contributi finanziari di cui all'articolo 36, paragrafo 1, lettera c), possono coprire soltanto:</w:t>
      </w:r>
    </w:p>
    <w:p w14:paraId="71DB1F1C" w14:textId="77777777" w:rsidR="00924FEE" w:rsidRDefault="00924FEE" w:rsidP="00924FEE">
      <w:pPr>
        <w:pStyle w:val="testo-leggedj-para-r1"/>
        <w:spacing w:line="240" w:lineRule="auto"/>
        <w:rPr>
          <w:lang w:val="it-IT" w:eastAsia="it-IT" w:bidi="ar-SA"/>
        </w:rPr>
      </w:pPr>
      <w:r>
        <w:rPr>
          <w:lang w:val="it-IT" w:eastAsia="it-IT" w:bidi="ar-SA"/>
        </w:rPr>
        <w:t>a) le spese amministrative di costituzione del fondo di mutualizzazione, ripartite al massimo su un triennio in misura decrescente;</w:t>
      </w:r>
    </w:p>
    <w:p w14:paraId="7E4569FB" w14:textId="77777777" w:rsidR="00924FEE" w:rsidRDefault="00924FEE" w:rsidP="00924FEE">
      <w:pPr>
        <w:pStyle w:val="testo-leggedj-para-r1"/>
        <w:spacing w:line="240" w:lineRule="auto"/>
        <w:rPr>
          <w:lang w:val="it-IT" w:eastAsia="it-IT" w:bidi="ar-SA"/>
        </w:rPr>
      </w:pPr>
      <w:r>
        <w:rPr>
          <w:lang w:val="it-IT" w:eastAsia="it-IT" w:bidi="ar-SA"/>
        </w:rPr>
        <w:t>b) gli importi versati dal fondo di mutualizzazione a titolo di compensazioni finanziarie agli agricoltori. Il contributo finanziario può inoltre riferirsi agli interessi sui mutui commerciali contratti dal fondo di mutualizzazione ai fini del pagamento delle compensazioni finanziarie agli agricoltori in caso di crisi;</w:t>
      </w:r>
    </w:p>
    <w:p w14:paraId="47FFC947" w14:textId="77777777" w:rsidR="00924FEE" w:rsidRDefault="00924FEE" w:rsidP="00924FEE">
      <w:pPr>
        <w:pStyle w:val="testo-leggedj-para-r1"/>
        <w:spacing w:line="240" w:lineRule="auto"/>
        <w:rPr>
          <w:lang w:val="it-IT" w:eastAsia="it-IT" w:bidi="ar-SA"/>
        </w:rPr>
      </w:pPr>
      <w:r>
        <w:rPr>
          <w:lang w:val="it-IT" w:eastAsia="it-IT" w:bidi="ar-SA"/>
        </w:rPr>
        <w:t>c) le integrazioni dei pagamenti annuali al fondo;</w:t>
      </w:r>
    </w:p>
    <w:p w14:paraId="3AD995D0" w14:textId="77777777" w:rsidR="00924FEE" w:rsidRDefault="00924FEE" w:rsidP="00924FEE">
      <w:pPr>
        <w:pStyle w:val="testo-leggedj-para-r1"/>
        <w:spacing w:line="240" w:lineRule="auto"/>
        <w:rPr>
          <w:lang w:val="it-IT" w:eastAsia="it-IT" w:bidi="ar-SA"/>
        </w:rPr>
      </w:pPr>
      <w:r>
        <w:rPr>
          <w:lang w:val="it-IT" w:eastAsia="it-IT" w:bidi="ar-SA"/>
        </w:rPr>
        <w:t>d) il capitale iniziale del fondo di mutualizzazione(3).</w:t>
      </w:r>
    </w:p>
    <w:p w14:paraId="4855316A" w14:textId="77777777" w:rsidR="00924FEE" w:rsidRDefault="00924FEE" w:rsidP="00924FEE">
      <w:pPr>
        <w:pStyle w:val="testo-leggedj-para-r1"/>
        <w:spacing w:line="240" w:lineRule="auto"/>
        <w:rPr>
          <w:lang w:val="it-IT" w:eastAsia="it-IT" w:bidi="ar-SA"/>
        </w:rPr>
      </w:pPr>
      <w:r>
        <w:rPr>
          <w:lang w:val="it-IT" w:eastAsia="it-IT" w:bidi="ar-SA"/>
        </w:rPr>
        <w:t>5. Il sostegno è limitato all'aliquota massima indicata nell'allegato II. Il sostegno di cui al paragrafo 4, lettera b), tiene conto dell'eventuale sostegno già fornito a norma del paragrafo 4, lettere c) e d)(4).</w:t>
      </w:r>
    </w:p>
    <w:p w14:paraId="07559C15" w14:textId="77777777" w:rsidR="00924FEE" w:rsidRDefault="00924FEE" w:rsidP="00924FEE">
      <w:pPr>
        <w:spacing w:line="240" w:lineRule="auto"/>
        <w:rPr>
          <w:sz w:val="18"/>
          <w:szCs w:val="18"/>
          <w:lang w:val="it-IT" w:eastAsia="it-IT" w:bidi="ar-SA"/>
        </w:rPr>
      </w:pPr>
      <w:r>
        <w:rPr>
          <w:sz w:val="18"/>
          <w:szCs w:val="18"/>
          <w:lang w:val="it-IT" w:eastAsia="it-IT" w:bidi="ar-SA"/>
        </w:rPr>
        <w:t>[1] Titolo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7A518CAB" w14:textId="77777777" w:rsidR="00924FEE" w:rsidRDefault="00924FEE" w:rsidP="00924FEE">
      <w:pPr>
        <w:spacing w:line="240" w:lineRule="auto"/>
        <w:rPr>
          <w:sz w:val="18"/>
          <w:szCs w:val="18"/>
          <w:lang w:val="it-IT" w:eastAsia="it-IT" w:bidi="ar-SA"/>
        </w:rPr>
      </w:pPr>
      <w:r>
        <w:rPr>
          <w:sz w:val="18"/>
          <w:szCs w:val="18"/>
          <w:lang w:val="it-IT" w:eastAsia="it-IT" w:bidi="ar-SA"/>
        </w:rPr>
        <w:t>[2]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rStyle w:val="dj-testo-evidenziato"/>
          <w:sz w:val="18"/>
          <w:szCs w:val="18"/>
          <w:lang w:val="it-IT" w:eastAsia="it-IT" w:bidi="ar-SA"/>
        </w:rPr>
        <w:t>e successivamente dall'</w:t>
      </w:r>
      <w:hyperlink w:anchor="/ricerca/fonti_documento?idDatabank=11&amp;idDocMaster=8865645&amp;idUnitaDoc=57106129&amp;nVigUnitaDoc=1&amp;docIdx=1&amp;isCorrelazioniSearch=true&amp;correlatoA=Normativa" w:history="1">
        <w:r>
          <w:rPr>
            <w:rStyle w:val="alink"/>
            <w:sz w:val="18"/>
            <w:szCs w:val="18"/>
            <w:shd w:val="clear" w:color="auto" w:fill="F5E5D5"/>
            <w:lang w:val="it-IT" w:eastAsia="it-IT" w:bidi="ar-SA"/>
          </w:rPr>
          <w:t>articolo 7 del Regolamento del Parlamento 23 dicembre 2020, n. 2220</w:t>
        </w:r>
      </w:hyperlink>
      <w:r>
        <w:rPr>
          <w:sz w:val="18"/>
          <w:szCs w:val="18"/>
          <w:lang w:val="it-IT" w:eastAsia="it-IT" w:bidi="ar-SA"/>
        </w:rPr>
        <w:t>.</w:t>
      </w:r>
    </w:p>
    <w:p w14:paraId="258E816C" w14:textId="77777777" w:rsidR="00924FEE" w:rsidRDefault="00924FEE" w:rsidP="00924FEE">
      <w:pPr>
        <w:spacing w:line="240" w:lineRule="auto"/>
        <w:rPr>
          <w:sz w:val="18"/>
          <w:szCs w:val="18"/>
          <w:lang w:val="it-IT" w:eastAsia="it-IT" w:bidi="ar-SA"/>
        </w:rPr>
      </w:pPr>
      <w:r>
        <w:rPr>
          <w:sz w:val="18"/>
          <w:szCs w:val="18"/>
          <w:lang w:val="it-IT" w:eastAsia="it-IT" w:bidi="ar-SA"/>
        </w:rPr>
        <w:t>[3]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6707C51A" w14:textId="77777777" w:rsidR="00924FEE" w:rsidRDefault="00924FEE" w:rsidP="00924FEE">
      <w:pPr>
        <w:spacing w:line="240" w:lineRule="auto"/>
        <w:rPr>
          <w:sz w:val="18"/>
          <w:szCs w:val="18"/>
          <w:lang w:val="it-IT" w:eastAsia="it-IT" w:bidi="ar-SA"/>
        </w:rPr>
      </w:pPr>
      <w:r>
        <w:rPr>
          <w:sz w:val="18"/>
          <w:szCs w:val="18"/>
          <w:lang w:val="it-IT" w:eastAsia="it-IT" w:bidi="ar-SA"/>
        </w:rPr>
        <w:t>[4]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3021717B" w14:textId="77777777" w:rsidR="00924FEE" w:rsidRDefault="00924FEE" w:rsidP="00924FEE">
      <w:pPr>
        <w:spacing w:line="240" w:lineRule="auto"/>
        <w:rPr>
          <w:lang w:val="it-IT" w:eastAsia="it-IT" w:bidi="ar-SA"/>
        </w:rPr>
      </w:pPr>
    </w:p>
    <w:p w14:paraId="0E0B38E7"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39 bis 2 </w:t>
      </w:r>
    </w:p>
    <w:p w14:paraId="5F92B8C1" w14:textId="77777777" w:rsidR="00924FEE" w:rsidRDefault="00924FEE" w:rsidP="00924FEE">
      <w:pPr>
        <w:spacing w:line="240" w:lineRule="auto"/>
        <w:jc w:val="center"/>
        <w:rPr>
          <w:lang w:val="it-IT" w:eastAsia="it-IT" w:bidi="ar-SA"/>
        </w:rPr>
      </w:pPr>
      <w:r>
        <w:rPr>
          <w:b/>
          <w:bCs/>
          <w:lang w:val="it-IT" w:eastAsia="it-IT" w:bidi="ar-SA"/>
        </w:rPr>
        <w:t>Strumento di stabilizzazione del reddito per gli agricoltori di un settore specifico</w:t>
      </w:r>
    </w:p>
    <w:p w14:paraId="1AC69EDB" w14:textId="77777777" w:rsidR="00924FEE" w:rsidRDefault="00924FEE" w:rsidP="00924FEE">
      <w:pPr>
        <w:pStyle w:val="testo-leggedj-para-r1"/>
        <w:spacing w:line="240" w:lineRule="auto"/>
        <w:rPr>
          <w:lang w:val="it-IT" w:eastAsia="it-IT" w:bidi="ar-SA"/>
        </w:rPr>
      </w:pPr>
      <w:r>
        <w:rPr>
          <w:lang w:val="it-IT" w:eastAsia="it-IT" w:bidi="ar-SA"/>
        </w:rPr>
        <w:t>1. Il sostegno di cui all'articolo 36, paragrafo 1, lettera d), è concesso soltanto in casi debitamente motivati e se il calo di reddito è superiore a una soglia minima del 20 % del reddito medio annuo del singolo agricoltore nei tre anni precedenti o del suo reddito medio triennale calcolato sui cinque anni precedenti, escludendo l'anno con il reddito più basso e quello con il reddito più elevato. Possono essere utilizzati indici per calcolare la perdita di reddito dell'agricoltore nell'anno. Ai fini dell'articolo 36, paragrafo 1, lettera d), per “reddito” si intende la somma degli introiti che l'agricoltore ricava dalla vendita della propria produzione sul mercato, incluso qualsiasi tipo di sostegno pubblico e detratti i costi dei fattori di produzione. Gli indennizzi versati agli agricoltori dal fondo di mutualizzazione compensano in misura inferiore al 70 % la perdita di reddito subita dal produttore nell'anno in cui quest'ultimo diventa ammissibile all'assistenza in questione.</w:t>
      </w:r>
    </w:p>
    <w:p w14:paraId="50C8E9C3" w14:textId="77777777" w:rsidR="00924FEE" w:rsidRDefault="00924FEE" w:rsidP="00924FEE">
      <w:pPr>
        <w:pStyle w:val="testo-leggedj-para-r1"/>
        <w:spacing w:line="240" w:lineRule="auto"/>
        <w:rPr>
          <w:lang w:val="it-IT" w:eastAsia="it-IT" w:bidi="ar-SA"/>
        </w:rPr>
      </w:pPr>
      <w:r>
        <w:rPr>
          <w:lang w:val="it-IT" w:eastAsia="it-IT" w:bidi="ar-SA"/>
        </w:rPr>
        <w:t>2. Ai fini del sostegno di cui all'articolo 36, paragrafo 1, lettera d), si applica l'articolo 39, paragrafi da 2 a 5(1).</w:t>
      </w:r>
    </w:p>
    <w:p w14:paraId="46BCAC24" w14:textId="77777777" w:rsidR="00924FEE" w:rsidRDefault="00924FEE" w:rsidP="00924FEE">
      <w:pPr>
        <w:spacing w:line="240" w:lineRule="auto"/>
        <w:rPr>
          <w:sz w:val="18"/>
          <w:szCs w:val="18"/>
          <w:lang w:val="it-IT" w:eastAsia="it-IT" w:bidi="ar-SA"/>
        </w:rPr>
      </w:pPr>
      <w:r>
        <w:rPr>
          <w:sz w:val="18"/>
          <w:szCs w:val="18"/>
          <w:lang w:val="it-IT" w:eastAsia="it-IT" w:bidi="ar-SA"/>
        </w:rPr>
        <w:t>[1]  Articolo inserito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4F24B3CC" w14:textId="77777777" w:rsidR="00924FEE" w:rsidRDefault="00924FEE" w:rsidP="00924FEE">
      <w:pPr>
        <w:spacing w:line="240" w:lineRule="auto"/>
        <w:rPr>
          <w:lang w:val="it-IT" w:eastAsia="it-IT" w:bidi="ar-SA"/>
        </w:rPr>
      </w:pPr>
    </w:p>
    <w:p w14:paraId="4E128754"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39 ter </w:t>
      </w:r>
    </w:p>
    <w:p w14:paraId="37DE82C6" w14:textId="77777777" w:rsidR="00924FEE" w:rsidRDefault="00924FEE" w:rsidP="00924FEE">
      <w:pPr>
        <w:spacing w:line="240" w:lineRule="auto"/>
        <w:jc w:val="center"/>
        <w:rPr>
          <w:lang w:val="it-IT" w:eastAsia="it-IT" w:bidi="ar-SA"/>
        </w:rPr>
      </w:pPr>
      <w:r>
        <w:rPr>
          <w:b/>
          <w:bCs/>
          <w:lang w:val="it-IT" w:eastAsia="it-IT" w:bidi="ar-SA"/>
        </w:rPr>
        <w:t xml:space="preserve">Sostegno temporaneo eccezionale a favore di agricoltori e PMI particolarmente colpiti dalla crisi di COVID-19  (1) </w:t>
      </w:r>
    </w:p>
    <w:p w14:paraId="6E4BB6ED" w14:textId="77777777" w:rsidR="00924FEE" w:rsidRDefault="00924FEE" w:rsidP="00924FEE">
      <w:pPr>
        <w:pStyle w:val="dj-para-r2"/>
        <w:spacing w:line="240" w:lineRule="auto"/>
        <w:ind w:left="75" w:right="75"/>
        <w:rPr>
          <w:lang w:val="it-IT" w:eastAsia="it-IT" w:bidi="ar-SA"/>
        </w:rPr>
      </w:pPr>
      <w:r>
        <w:rPr>
          <w:lang w:val="it-IT" w:eastAsia="it-IT" w:bidi="ar-SA"/>
        </w:rPr>
        <w:t> </w:t>
      </w:r>
    </w:p>
    <w:p w14:paraId="69B5897F" w14:textId="77777777" w:rsidR="00924FEE" w:rsidRDefault="00924FEE" w:rsidP="00924FEE">
      <w:pPr>
        <w:pStyle w:val="dj-para-r2"/>
        <w:spacing w:line="240" w:lineRule="auto"/>
        <w:ind w:left="75" w:right="75"/>
        <w:rPr>
          <w:lang w:val="it-IT" w:eastAsia="it-IT" w:bidi="ar-SA"/>
        </w:rPr>
      </w:pPr>
      <w:r>
        <w:rPr>
          <w:lang w:val="it-IT" w:eastAsia="it-IT" w:bidi="ar-SA"/>
        </w:rPr>
        <w:t>1. Il sostegno erogato nell'ambito della presente misura garantisce un'assistenza di emergenza agli agricoltori e alle PMI particolarmente colpiti dalla crisi di COVID-19, con l'obiettivo di garantire la continuità delle loro attività economiche, alle condizioni stabilite nel presente articolo.</w:t>
      </w:r>
    </w:p>
    <w:p w14:paraId="7468C073" w14:textId="77777777" w:rsidR="00924FEE" w:rsidRDefault="00924FEE" w:rsidP="00924FEE">
      <w:pPr>
        <w:pStyle w:val="dj-para-r2"/>
        <w:spacing w:line="240" w:lineRule="auto"/>
        <w:ind w:left="75" w:right="75"/>
        <w:rPr>
          <w:lang w:val="it-IT" w:eastAsia="it-IT" w:bidi="ar-SA"/>
        </w:rPr>
      </w:pPr>
      <w:r>
        <w:rPr>
          <w:lang w:val="it-IT" w:eastAsia="it-IT" w:bidi="ar-SA"/>
        </w:rPr>
        <w:t xml:space="preserve">2. Il sostegno è concesso agli agricoltori nonché alle PMI attive nella trasformazione, commercializzazione o sviluppo dei prodotti agricoli di cui all'allegato I </w:t>
      </w:r>
      <w:hyperlink w:anchor="/ricerca/fonti_documento?idDatabank=11&amp;idDocMaster=244551&amp;idUnitaDoc=1400046&amp;nVigUnitaDoc=1&amp;docIdx=1&amp;isCorrelazioniSearch=true&amp;correlatoA=Normativa" w:history="1">
        <w:r>
          <w:rPr>
            <w:rStyle w:val="alink"/>
            <w:lang w:val="it-IT" w:eastAsia="it-IT" w:bidi="ar-SA"/>
          </w:rPr>
          <w:t>TFUE</w:t>
        </w:r>
      </w:hyperlink>
      <w:r>
        <w:rPr>
          <w:lang w:val="it-IT" w:eastAsia="it-IT" w:bidi="ar-SA"/>
        </w:rPr>
        <w:t xml:space="preserve"> o del cotone, con l'esclusione dei prodotti della pesca. Il prodotto ottenuto dalla trasformazione può non essere un prodotto elencato in tale allegato.</w:t>
      </w:r>
    </w:p>
    <w:p w14:paraId="71ABEA85" w14:textId="77777777" w:rsidR="00924FEE" w:rsidRDefault="00924FEE" w:rsidP="00924FEE">
      <w:pPr>
        <w:pStyle w:val="dj-para-r2"/>
        <w:spacing w:line="240" w:lineRule="auto"/>
        <w:ind w:left="75" w:right="75"/>
        <w:rPr>
          <w:lang w:val="it-IT" w:eastAsia="it-IT" w:bidi="ar-SA"/>
        </w:rPr>
      </w:pPr>
      <w:r>
        <w:rPr>
          <w:lang w:val="it-IT" w:eastAsia="it-IT" w:bidi="ar-SA"/>
        </w:rPr>
        <w:t>3. Gli Stati membri destinano il sostegno ai beneficiari maggiormente colpiti dalla crisi di COVID-19, definendo, sulla base delle prove disponibili, le condizioni di ammissibilità e, se considerato opportuno da parte dello Stato membro interessato, i criteri di selezione, che devono essere obiettivi e non discriminatori.</w:t>
      </w:r>
    </w:p>
    <w:p w14:paraId="6B50DC23" w14:textId="77777777" w:rsidR="00924FEE" w:rsidRDefault="00924FEE" w:rsidP="00924FEE">
      <w:pPr>
        <w:pStyle w:val="dj-para-r2"/>
        <w:spacing w:line="240" w:lineRule="auto"/>
        <w:ind w:left="75" w:right="75"/>
        <w:rPr>
          <w:lang w:val="it-IT" w:eastAsia="it-IT" w:bidi="ar-SA"/>
        </w:rPr>
      </w:pPr>
      <w:r>
        <w:rPr>
          <w:rStyle w:val="dj-testo-evidenziato"/>
          <w:lang w:val="it-IT" w:eastAsia="it-IT" w:bidi="ar-SA"/>
        </w:rPr>
        <w:t>4. Il sostegno è erogato in forma di somma forfettaria da versare entro il 31 dicembre 2021, in base alle domande di sostegno approvate dall'autorità competente entro il 30 giugno 2021. Il successivo rimborso della Commissione è versato conformemente agli stanziamenti di bilancio e subordinatamente ai fondi disponibili. Il livello dei pagamenti può essere differenziato per categorie di beneficiari, conformemente a criteri oggettivi e non discriminatori (2)</w:t>
      </w:r>
      <w:r>
        <w:rPr>
          <w:lang w:val="it-IT" w:eastAsia="it-IT" w:bidi="ar-SA"/>
        </w:rPr>
        <w:t>.</w:t>
      </w:r>
    </w:p>
    <w:p w14:paraId="181A133E" w14:textId="77777777" w:rsidR="00924FEE" w:rsidRDefault="00924FEE" w:rsidP="00924FEE">
      <w:pPr>
        <w:pStyle w:val="dj-para-r2"/>
        <w:spacing w:line="240" w:lineRule="auto"/>
        <w:ind w:left="75" w:right="75"/>
        <w:rPr>
          <w:lang w:val="it-IT" w:eastAsia="it-IT" w:bidi="ar-SA"/>
        </w:rPr>
      </w:pPr>
      <w:r>
        <w:rPr>
          <w:lang w:val="it-IT" w:eastAsia="it-IT" w:bidi="ar-SA"/>
        </w:rPr>
        <w:t>5. L'importo massimo del sostegno non è superiore a 7 000 EUR per agricoltore e a 50 000 EUR per PMI.</w:t>
      </w:r>
    </w:p>
    <w:p w14:paraId="3B60F3FC" w14:textId="77777777" w:rsidR="00924FEE" w:rsidRDefault="00924FEE" w:rsidP="00924FEE">
      <w:pPr>
        <w:pStyle w:val="dj-para-r2"/>
        <w:spacing w:line="240" w:lineRule="auto"/>
        <w:ind w:left="75" w:right="75"/>
        <w:rPr>
          <w:lang w:val="it-IT" w:eastAsia="it-IT" w:bidi="ar-SA"/>
        </w:rPr>
      </w:pPr>
      <w:r>
        <w:rPr>
          <w:lang w:val="it-IT" w:eastAsia="it-IT" w:bidi="ar-SA"/>
        </w:rPr>
        <w:t xml:space="preserve">6. Nell'erogare il sostegno a norma del presente articolo gli Stati membri tengono conto del sostegno concesso nell'ambito di altri strumenti di sostegno nazionali o </w:t>
      </w:r>
      <w:proofErr w:type="spellStart"/>
      <w:r>
        <w:rPr>
          <w:lang w:val="it-IT" w:eastAsia="it-IT" w:bidi="ar-SA"/>
        </w:rPr>
        <w:t>unionali</w:t>
      </w:r>
      <w:proofErr w:type="spellEnd"/>
      <w:r>
        <w:rPr>
          <w:lang w:val="it-IT" w:eastAsia="it-IT" w:bidi="ar-SA"/>
        </w:rPr>
        <w:t xml:space="preserve"> o di regimi privati per rispondere all'impatto della crisi di COVID-19.</w:t>
      </w:r>
    </w:p>
    <w:p w14:paraId="117CE8CF" w14:textId="77777777" w:rsidR="00924FEE" w:rsidRDefault="00924FEE" w:rsidP="00924FEE">
      <w:pPr>
        <w:spacing w:line="240" w:lineRule="auto"/>
        <w:rPr>
          <w:sz w:val="18"/>
          <w:szCs w:val="18"/>
          <w:lang w:val="it-IT" w:eastAsia="it-IT" w:bidi="ar-SA"/>
        </w:rPr>
      </w:pPr>
      <w:r>
        <w:rPr>
          <w:sz w:val="18"/>
          <w:szCs w:val="18"/>
          <w:lang w:val="it-IT" w:eastAsia="it-IT" w:bidi="ar-SA"/>
        </w:rPr>
        <w:t>[1] Articolo inserito dall'</w:t>
      </w:r>
      <w:hyperlink w:anchor="/ricerca/fonti_documento?idDatabank=11&amp;idDocMaster=8572651&amp;idUnitaDoc=51289520&amp;nVigUnitaDoc=1&amp;docIdx=1&amp;isCorrelazioniSearch=true&amp;correlatoA=Normativa" w:history="1">
        <w:r>
          <w:rPr>
            <w:rStyle w:val="alink"/>
            <w:sz w:val="18"/>
            <w:szCs w:val="18"/>
            <w:lang w:val="it-IT" w:eastAsia="it-IT" w:bidi="ar-SA"/>
          </w:rPr>
          <w:t>articolo 1 del Regolamento (UE) del Parlamento Europeo e del Consiglio del 24 giugno 2020, n. 872.</w:t>
        </w:r>
      </w:hyperlink>
    </w:p>
    <w:p w14:paraId="7FFC1401" w14:textId="77777777" w:rsidR="00924FEE" w:rsidRDefault="00924FEE" w:rsidP="00924FEE">
      <w:pPr>
        <w:spacing w:line="240" w:lineRule="auto"/>
        <w:rPr>
          <w:sz w:val="18"/>
          <w:szCs w:val="18"/>
          <w:lang w:val="it-IT" w:eastAsia="it-IT" w:bidi="ar-SA"/>
        </w:rPr>
      </w:pPr>
      <w:r>
        <w:rPr>
          <w:sz w:val="18"/>
          <w:szCs w:val="18"/>
          <w:lang w:val="it-IT" w:eastAsia="it-IT" w:bidi="ar-SA"/>
        </w:rPr>
        <w:t xml:space="preserve">[2] </w:t>
      </w:r>
      <w:r>
        <w:rPr>
          <w:rStyle w:val="dj-testo-evidenziato"/>
          <w:sz w:val="18"/>
          <w:szCs w:val="18"/>
          <w:lang w:val="it-IT" w:eastAsia="it-IT" w:bidi="ar-SA"/>
        </w:rPr>
        <w:t>Comma sostituito dall'</w:t>
      </w:r>
      <w:hyperlink w:anchor="/ricerca/fonti_documento?idDatabank=11&amp;idDocMaster=8865645&amp;idUnitaDoc=57106129&amp;nVigUnitaDoc=1&amp;docIdx=1&amp;isCorrelazioniSearch=true&amp;correlatoA=Normativa" w:history="1">
        <w:r>
          <w:rPr>
            <w:rStyle w:val="alink"/>
            <w:sz w:val="18"/>
            <w:szCs w:val="18"/>
            <w:shd w:val="clear" w:color="auto" w:fill="F5E5D5"/>
            <w:lang w:val="it-IT" w:eastAsia="it-IT" w:bidi="ar-SA"/>
          </w:rPr>
          <w:t>articolo 7 del Regolamento del Parlamento 23 dicembre 2020, n. 2220</w:t>
        </w:r>
      </w:hyperlink>
      <w:r>
        <w:rPr>
          <w:rStyle w:val="dj-testo-evidenziato"/>
          <w:sz w:val="18"/>
          <w:szCs w:val="18"/>
          <w:lang w:val="it-IT" w:eastAsia="it-IT" w:bidi="ar-SA"/>
        </w:rPr>
        <w:t>. ​</w:t>
      </w:r>
    </w:p>
    <w:p w14:paraId="04985D28" w14:textId="77777777" w:rsidR="00924FEE" w:rsidRDefault="00924FEE" w:rsidP="00924FEE">
      <w:pPr>
        <w:spacing w:line="240" w:lineRule="auto"/>
        <w:rPr>
          <w:lang w:val="it-IT" w:eastAsia="it-IT" w:bidi="ar-SA"/>
        </w:rPr>
      </w:pPr>
    </w:p>
    <w:p w14:paraId="3EB65D59" w14:textId="77777777" w:rsidR="0015228E" w:rsidRPr="0015228E" w:rsidRDefault="0015228E">
      <w:pPr>
        <w:rPr>
          <w:lang w:val="it-IT"/>
        </w:rPr>
      </w:pPr>
    </w:p>
    <w:sectPr w:rsidR="0015228E" w:rsidRPr="001522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8E"/>
    <w:rsid w:val="0015228E"/>
    <w:rsid w:val="00194E48"/>
    <w:rsid w:val="00611817"/>
    <w:rsid w:val="00791A1B"/>
    <w:rsid w:val="00924FEE"/>
    <w:rsid w:val="00A233A0"/>
    <w:rsid w:val="00B84BFA"/>
    <w:rsid w:val="00F235C3"/>
    <w:rsid w:val="00FC3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C624"/>
  <w15:chartTrackingRefBased/>
  <w15:docId w15:val="{F70F6E50-9F58-4D02-B1D6-0A03EEB0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8"/>
        <w:szCs w:val="28"/>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228E"/>
    <w:pPr>
      <w:spacing w:after="0" w:line="330" w:lineRule="atLeast"/>
    </w:pPr>
    <w:rPr>
      <w:rFonts w:ascii="Arial" w:eastAsia="Arial"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link">
    <w:name w:val="a_link"/>
    <w:basedOn w:val="Carpredefinitoparagrafo"/>
    <w:rsid w:val="0015228E"/>
    <w:rPr>
      <w:color w:val="000000"/>
    </w:rPr>
  </w:style>
  <w:style w:type="character" w:customStyle="1" w:styleId="dj-grassetto">
    <w:name w:val="dj-grassetto"/>
    <w:basedOn w:val="Carpredefinitoparagrafo"/>
    <w:rsid w:val="0015228E"/>
    <w:rPr>
      <w:b/>
      <w:bCs/>
    </w:rPr>
  </w:style>
  <w:style w:type="character" w:customStyle="1" w:styleId="lbl-numero-articolo">
    <w:name w:val="lbl-numero-articolo"/>
    <w:basedOn w:val="Carpredefinitoparagrafo"/>
    <w:rsid w:val="00FC3076"/>
    <w:rPr>
      <w:b/>
      <w:bCs/>
    </w:rPr>
  </w:style>
  <w:style w:type="paragraph" w:customStyle="1" w:styleId="testo-leggedj-para-r1">
    <w:name w:val="testo-legge_dj-para-r1"/>
    <w:basedOn w:val="Normale"/>
    <w:rsid w:val="00FC3076"/>
    <w:pPr>
      <w:pBdr>
        <w:top w:val="none" w:sz="0" w:space="1" w:color="auto"/>
        <w:bottom w:val="none" w:sz="0" w:space="1" w:color="auto"/>
      </w:pBdr>
      <w:jc w:val="both"/>
    </w:pPr>
  </w:style>
  <w:style w:type="paragraph" w:customStyle="1" w:styleId="dj-para-r2">
    <w:name w:val="dj-para-r2"/>
    <w:basedOn w:val="Normale"/>
    <w:rsid w:val="00924FEE"/>
    <w:pPr>
      <w:pBdr>
        <w:top w:val="none" w:sz="0" w:space="6" w:color="auto"/>
        <w:left w:val="none" w:sz="0" w:space="3" w:color="auto"/>
        <w:bottom w:val="none" w:sz="0" w:space="6" w:color="auto"/>
        <w:right w:val="none" w:sz="0" w:space="3" w:color="auto"/>
      </w:pBdr>
    </w:pPr>
  </w:style>
  <w:style w:type="character" w:customStyle="1" w:styleId="dj-testo-evidenziato">
    <w:name w:val="dj-testo-evidenziato"/>
    <w:basedOn w:val="Carpredefinitoparagrafo"/>
    <w:rsid w:val="00924FEE"/>
    <w:rPr>
      <w:shd w:val="clear" w:color="auto" w:fill="F5E5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98526F2D23B6489C7093E6CCF9007C" ma:contentTypeVersion="4" ma:contentTypeDescription="Creare un nuovo documento." ma:contentTypeScope="" ma:versionID="b656967dbce89e873b87fa29f07f3548">
  <xsd:schema xmlns:xsd="http://www.w3.org/2001/XMLSchema" xmlns:xs="http://www.w3.org/2001/XMLSchema" xmlns:p="http://schemas.microsoft.com/office/2006/metadata/properties" xmlns:ns2="8b2aca1a-4145-41f8-a98a-e73a98684ae9" targetNamespace="http://schemas.microsoft.com/office/2006/metadata/properties" ma:root="true" ma:fieldsID="f0ea2d97eef1246a207eb9a036405015" ns2:_="">
    <xsd:import namespace="8b2aca1a-4145-41f8-a98a-e73a98684a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aca1a-4145-41f8-a98a-e73a98684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D7AF8-1BD9-40EE-B336-DB0E82531F0F}"/>
</file>

<file path=customXml/itemProps2.xml><?xml version="1.0" encoding="utf-8"?>
<ds:datastoreItem xmlns:ds="http://schemas.openxmlformats.org/officeDocument/2006/customXml" ds:itemID="{2E9F98D3-6C3D-439B-BADD-FD59DCFC82EA}"/>
</file>

<file path=customXml/itemProps3.xml><?xml version="1.0" encoding="utf-8"?>
<ds:datastoreItem xmlns:ds="http://schemas.openxmlformats.org/officeDocument/2006/customXml" ds:itemID="{A8F3583B-3A9F-457B-B794-26DA6A91E98E}"/>
</file>

<file path=docProps/app.xml><?xml version="1.0" encoding="utf-8"?>
<Properties xmlns="http://schemas.openxmlformats.org/officeDocument/2006/extended-properties" xmlns:vt="http://schemas.openxmlformats.org/officeDocument/2006/docPropsVTypes">
  <Template>Normal</Template>
  <TotalTime>3</TotalTime>
  <Pages>9</Pages>
  <Words>5755</Words>
  <Characters>32807</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GROSSI</dc:creator>
  <cp:keywords/>
  <dc:description/>
  <cp:lastModifiedBy>PAOLA GROSSI</cp:lastModifiedBy>
  <cp:revision>2</cp:revision>
  <dcterms:created xsi:type="dcterms:W3CDTF">2021-03-02T12:35:00Z</dcterms:created>
  <dcterms:modified xsi:type="dcterms:W3CDTF">2021-03-02T12:43:00Z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0x0101003B98526F2D23B6489C7093E6CCF9007C</vt:lpwstr>
  </property>
</Properties>
</file>